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44CB3" w14:textId="584B0DA5" w:rsidR="00507EA7" w:rsidRPr="0097779A" w:rsidRDefault="00507EA7" w:rsidP="00076856">
      <w:pPr>
        <w:spacing w:beforeLines="50" w:before="120"/>
        <w:ind w:left="1985" w:hanging="1985"/>
        <w:rPr>
          <w:rFonts w:ascii="Times New Roman" w:eastAsia="宋体" w:hAnsi="Times New Roman" w:cs="Times New Roman"/>
          <w:b/>
          <w:noProof/>
          <w:kern w:val="0"/>
          <w:sz w:val="24"/>
          <w:szCs w:val="24"/>
          <w:lang w:eastAsia="en-US"/>
        </w:rPr>
      </w:pPr>
      <w:bookmarkStart w:id="0" w:name="Title"/>
      <w:bookmarkStart w:id="1" w:name="DocumentFor"/>
      <w:bookmarkStart w:id="2" w:name="_Hlk95154274"/>
      <w:bookmarkEnd w:id="0"/>
      <w:bookmarkEnd w:id="1"/>
      <w:r w:rsidRPr="0097779A">
        <w:rPr>
          <w:rFonts w:ascii="Times New Roman" w:eastAsia="宋体" w:hAnsi="Times New Roman" w:cs="Times New Roman"/>
          <w:b/>
          <w:noProof/>
          <w:kern w:val="0"/>
          <w:sz w:val="24"/>
          <w:szCs w:val="24"/>
          <w:lang w:eastAsia="en-US"/>
        </w:rPr>
        <w:t>3GPP TSG-RAN WG4 Meeting # 102-e</w:t>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Pr="0097779A">
        <w:rPr>
          <w:rFonts w:ascii="Times New Roman" w:eastAsia="宋体" w:hAnsi="Times New Roman" w:cs="Times New Roman"/>
          <w:b/>
          <w:noProof/>
          <w:kern w:val="0"/>
          <w:sz w:val="24"/>
          <w:szCs w:val="24"/>
          <w:lang w:eastAsia="en-US"/>
        </w:rPr>
        <w:tab/>
      </w:r>
      <w:r w:rsidR="00A767A2" w:rsidRPr="00A767A2">
        <w:rPr>
          <w:rFonts w:ascii="Times New Roman" w:eastAsia="宋体" w:hAnsi="Times New Roman" w:cs="Times New Roman"/>
          <w:b/>
          <w:noProof/>
          <w:kern w:val="0"/>
          <w:sz w:val="24"/>
          <w:szCs w:val="24"/>
          <w:lang w:eastAsia="en-US"/>
        </w:rPr>
        <w:t>R4-2204277</w:t>
      </w:r>
    </w:p>
    <w:p w14:paraId="708F4BC9" w14:textId="77777777" w:rsidR="00507EA7" w:rsidRPr="0097779A" w:rsidRDefault="00507EA7" w:rsidP="00507EA7">
      <w:pPr>
        <w:spacing w:beforeLines="50" w:before="120" w:afterLines="50" w:after="120" w:line="360" w:lineRule="auto"/>
        <w:ind w:left="1985" w:hanging="1985"/>
        <w:rPr>
          <w:rFonts w:ascii="Times New Roman" w:eastAsia="宋体" w:hAnsi="Times New Roman" w:cs="Times New Roman"/>
          <w:b/>
          <w:noProof/>
          <w:kern w:val="0"/>
          <w:sz w:val="24"/>
          <w:szCs w:val="24"/>
          <w:lang w:eastAsia="en-US"/>
        </w:rPr>
      </w:pPr>
      <w:r w:rsidRPr="0097779A">
        <w:rPr>
          <w:rFonts w:ascii="Times New Roman" w:eastAsia="宋体" w:hAnsi="Times New Roman" w:cs="Times New Roman"/>
          <w:b/>
          <w:noProof/>
          <w:kern w:val="0"/>
          <w:sz w:val="24"/>
          <w:szCs w:val="24"/>
          <w:lang w:eastAsia="en-US"/>
        </w:rPr>
        <w:t>Electronic Meeting, February 21 – March 3, 2022</w:t>
      </w:r>
    </w:p>
    <w:bookmarkEnd w:id="2"/>
    <w:p w14:paraId="6352570E" w14:textId="10E4B5FE" w:rsidR="00FB1EA3" w:rsidRPr="0097779A" w:rsidRDefault="00FB1EA3" w:rsidP="00481666">
      <w:pPr>
        <w:spacing w:beforeLines="50" w:before="120" w:afterLines="50" w:after="120" w:line="360" w:lineRule="auto"/>
        <w:ind w:left="1985" w:hanging="1985"/>
        <w:rPr>
          <w:rFonts w:ascii="Times New Roman" w:hAnsi="Times New Roman" w:cs="Times New Roman"/>
          <w:b/>
          <w:bCs/>
        </w:rPr>
      </w:pPr>
      <w:r w:rsidRPr="0097779A">
        <w:rPr>
          <w:rFonts w:ascii="Times New Roman" w:hAnsi="Times New Roman" w:cs="Times New Roman"/>
          <w:b/>
          <w:bCs/>
        </w:rPr>
        <w:t>Agenda Item:</w:t>
      </w:r>
      <w:r w:rsidRPr="0097779A">
        <w:rPr>
          <w:rFonts w:ascii="Times New Roman" w:hAnsi="Times New Roman" w:cs="Times New Roman"/>
          <w:b/>
          <w:bCs/>
        </w:rPr>
        <w:tab/>
      </w:r>
      <w:r w:rsidR="00507EA7" w:rsidRPr="0097779A">
        <w:rPr>
          <w:rFonts w:ascii="Times New Roman" w:hAnsi="Times New Roman" w:cs="Times New Roman"/>
          <w:b/>
          <w:bCs/>
        </w:rPr>
        <w:t>10</w:t>
      </w:r>
      <w:r w:rsidR="002F4EAA" w:rsidRPr="0097779A">
        <w:rPr>
          <w:rFonts w:ascii="Times New Roman" w:hAnsi="Times New Roman" w:cs="Times New Roman"/>
          <w:b/>
          <w:bCs/>
        </w:rPr>
        <w:t>.11.2.1</w:t>
      </w:r>
    </w:p>
    <w:p w14:paraId="68E291BE" w14:textId="76AFEBB0" w:rsidR="0034111C" w:rsidRPr="0097779A" w:rsidRDefault="0034111C" w:rsidP="00481666">
      <w:pPr>
        <w:spacing w:beforeLines="50" w:before="120" w:afterLines="50" w:after="120" w:line="360" w:lineRule="auto"/>
        <w:ind w:left="1985" w:hanging="1985"/>
        <w:rPr>
          <w:rFonts w:ascii="Times New Roman" w:hAnsi="Times New Roman" w:cs="Times New Roman"/>
          <w:b/>
          <w:bCs/>
        </w:rPr>
      </w:pPr>
      <w:r w:rsidRPr="0097779A">
        <w:rPr>
          <w:rFonts w:ascii="Times New Roman" w:hAnsi="Times New Roman" w:cs="Times New Roman"/>
          <w:b/>
          <w:bCs/>
        </w:rPr>
        <w:t>Source:</w:t>
      </w:r>
      <w:r w:rsidRPr="0097779A">
        <w:rPr>
          <w:rFonts w:ascii="Times New Roman" w:hAnsi="Times New Roman" w:cs="Times New Roman"/>
          <w:b/>
          <w:bCs/>
        </w:rPr>
        <w:tab/>
      </w:r>
      <w:r w:rsidR="00994D7C" w:rsidRPr="0097779A">
        <w:rPr>
          <w:rFonts w:ascii="Times New Roman" w:hAnsi="Times New Roman" w:cs="Times New Roman"/>
          <w:b/>
          <w:bCs/>
        </w:rPr>
        <w:t>OPPO</w:t>
      </w:r>
    </w:p>
    <w:p w14:paraId="56FE282C" w14:textId="4514CF34" w:rsidR="00174EC2" w:rsidRPr="0097779A" w:rsidRDefault="0034111C" w:rsidP="00481666">
      <w:pPr>
        <w:spacing w:beforeLines="50" w:before="120" w:afterLines="50" w:after="120" w:line="360" w:lineRule="auto"/>
        <w:ind w:left="1985" w:hanging="1985"/>
        <w:rPr>
          <w:rFonts w:ascii="Times New Roman" w:hAnsi="Times New Roman" w:cs="Times New Roman"/>
          <w:b/>
          <w:bCs/>
        </w:rPr>
      </w:pPr>
      <w:r w:rsidRPr="0097779A">
        <w:rPr>
          <w:rFonts w:ascii="Times New Roman" w:hAnsi="Times New Roman" w:cs="Times New Roman"/>
          <w:b/>
          <w:bCs/>
        </w:rPr>
        <w:t>Title:</w:t>
      </w:r>
      <w:r w:rsidRPr="0097779A">
        <w:rPr>
          <w:rFonts w:ascii="Times New Roman" w:hAnsi="Times New Roman" w:cs="Times New Roman"/>
          <w:b/>
          <w:bCs/>
        </w:rPr>
        <w:tab/>
      </w:r>
      <w:r w:rsidR="00905187" w:rsidRPr="0097779A">
        <w:rPr>
          <w:rFonts w:ascii="Times New Roman" w:hAnsi="Times New Roman" w:cs="Times New Roman"/>
          <w:b/>
          <w:bCs/>
        </w:rPr>
        <w:t xml:space="preserve">On </w:t>
      </w:r>
      <w:r w:rsidR="00F80848" w:rsidRPr="0097779A">
        <w:rPr>
          <w:rFonts w:ascii="Times New Roman" w:hAnsi="Times New Roman" w:cs="Times New Roman"/>
          <w:b/>
          <w:bCs/>
        </w:rPr>
        <w:t>Pre-configured MG</w:t>
      </w:r>
      <w:r w:rsidR="00E64105" w:rsidRPr="0097779A">
        <w:rPr>
          <w:rFonts w:ascii="Times New Roman" w:hAnsi="Times New Roman" w:cs="Times New Roman"/>
          <w:b/>
          <w:bCs/>
        </w:rPr>
        <w:t xml:space="preserve"> for </w:t>
      </w:r>
      <w:proofErr w:type="spellStart"/>
      <w:r w:rsidR="00E64105" w:rsidRPr="0097779A">
        <w:rPr>
          <w:rFonts w:ascii="Times New Roman" w:hAnsi="Times New Roman" w:cs="Times New Roman"/>
          <w:b/>
          <w:bCs/>
        </w:rPr>
        <w:t>NR_MG_enh</w:t>
      </w:r>
      <w:proofErr w:type="spellEnd"/>
    </w:p>
    <w:p w14:paraId="6F580D61" w14:textId="208C4551" w:rsidR="0034111C" w:rsidRPr="0097779A" w:rsidRDefault="0034111C" w:rsidP="00481666">
      <w:pPr>
        <w:spacing w:beforeLines="50" w:before="120" w:afterLines="50" w:after="120" w:line="360" w:lineRule="auto"/>
        <w:ind w:left="1985" w:hanging="1985"/>
        <w:rPr>
          <w:rFonts w:ascii="Times New Roman" w:hAnsi="Times New Roman" w:cs="Times New Roman"/>
          <w:b/>
          <w:bCs/>
        </w:rPr>
      </w:pPr>
      <w:r w:rsidRPr="0097779A">
        <w:rPr>
          <w:rFonts w:ascii="Times New Roman" w:hAnsi="Times New Roman" w:cs="Times New Roman"/>
          <w:b/>
          <w:bCs/>
        </w:rPr>
        <w:t>Document for:</w:t>
      </w:r>
      <w:r w:rsidRPr="0097779A">
        <w:rPr>
          <w:rFonts w:ascii="Times New Roman" w:hAnsi="Times New Roman" w:cs="Times New Roman"/>
          <w:b/>
          <w:bCs/>
        </w:rPr>
        <w:tab/>
      </w:r>
      <w:r w:rsidR="00D24E48" w:rsidRPr="0097779A">
        <w:rPr>
          <w:rFonts w:ascii="Times New Roman" w:hAnsi="Times New Roman" w:cs="Times New Roman"/>
          <w:b/>
          <w:bCs/>
        </w:rPr>
        <w:t>Approval</w:t>
      </w:r>
    </w:p>
    <w:p w14:paraId="20062393" w14:textId="56A5F983" w:rsidR="0034111C" w:rsidRPr="0097779A" w:rsidRDefault="00EE7FA7" w:rsidP="00481666">
      <w:pPr>
        <w:pStyle w:val="1"/>
        <w:numPr>
          <w:ilvl w:val="0"/>
          <w:numId w:val="1"/>
        </w:numPr>
        <w:spacing w:beforeLines="50" w:before="120" w:afterLines="50" w:after="120" w:line="360" w:lineRule="auto"/>
        <w:rPr>
          <w:rFonts w:ascii="Times New Roman" w:hAnsi="Times New Roman"/>
        </w:rPr>
      </w:pPr>
      <w:r w:rsidRPr="0097779A">
        <w:rPr>
          <w:rFonts w:ascii="Times New Roman" w:hAnsi="Times New Roman"/>
        </w:rPr>
        <w:t>Introduction</w:t>
      </w:r>
    </w:p>
    <w:p w14:paraId="4FF49E4C" w14:textId="706C9260" w:rsidR="00133B55" w:rsidRPr="0097779A" w:rsidRDefault="00B320EC" w:rsidP="00481666">
      <w:pPr>
        <w:pStyle w:val="Default"/>
        <w:spacing w:beforeLines="50" w:before="120" w:afterLines="50" w:after="120" w:line="360" w:lineRule="auto"/>
        <w:jc w:val="both"/>
        <w:rPr>
          <w:rFonts w:ascii="Times New Roman" w:eastAsiaTheme="minorEastAsia" w:hAnsi="Times New Roman" w:cs="Times New Roman"/>
          <w:color w:val="auto"/>
          <w:sz w:val="21"/>
          <w:szCs w:val="21"/>
        </w:rPr>
      </w:pPr>
      <w:r w:rsidRPr="0097779A">
        <w:rPr>
          <w:rFonts w:ascii="Times New Roman" w:eastAsiaTheme="minorEastAsia" w:hAnsi="Times New Roman" w:cs="Times New Roman"/>
          <w:color w:val="auto"/>
          <w:sz w:val="21"/>
          <w:szCs w:val="21"/>
        </w:rPr>
        <w:t>A</w:t>
      </w:r>
      <w:r w:rsidR="00FB36A0" w:rsidRPr="0097779A">
        <w:rPr>
          <w:rFonts w:ascii="Times New Roman" w:eastAsiaTheme="minorEastAsia" w:hAnsi="Times New Roman" w:cs="Times New Roman"/>
          <w:color w:val="auto"/>
          <w:sz w:val="21"/>
          <w:szCs w:val="21"/>
        </w:rPr>
        <w:t xml:space="preserve"> WF </w:t>
      </w:r>
      <w:r w:rsidR="00082183" w:rsidRPr="0097779A">
        <w:rPr>
          <w:rFonts w:ascii="Times New Roman" w:eastAsiaTheme="minorEastAsia" w:hAnsi="Times New Roman" w:cs="Times New Roman"/>
          <w:color w:val="auto"/>
          <w:sz w:val="21"/>
          <w:szCs w:val="21"/>
        </w:rPr>
        <w:t xml:space="preserve">on pre-configured MG pattern </w:t>
      </w:r>
      <w:r w:rsidR="00FB36A0" w:rsidRPr="0097779A">
        <w:rPr>
          <w:rFonts w:ascii="Times New Roman" w:eastAsiaTheme="minorEastAsia" w:hAnsi="Times New Roman" w:cs="Times New Roman"/>
          <w:color w:val="auto"/>
          <w:sz w:val="21"/>
          <w:szCs w:val="21"/>
        </w:rPr>
        <w:t>was approved in last RAN4#</w:t>
      </w:r>
      <w:r w:rsidR="00180A74" w:rsidRPr="0097779A">
        <w:rPr>
          <w:rFonts w:ascii="Times New Roman" w:eastAsiaTheme="minorEastAsia" w:hAnsi="Times New Roman" w:cs="Times New Roman"/>
          <w:color w:val="auto"/>
          <w:sz w:val="21"/>
          <w:szCs w:val="21"/>
        </w:rPr>
        <w:t>10</w:t>
      </w:r>
      <w:r w:rsidR="001E5205" w:rsidRPr="0097779A">
        <w:rPr>
          <w:rFonts w:ascii="Times New Roman" w:eastAsiaTheme="minorEastAsia" w:hAnsi="Times New Roman" w:cs="Times New Roman"/>
          <w:color w:val="auto"/>
          <w:sz w:val="21"/>
          <w:szCs w:val="21"/>
        </w:rPr>
        <w:t>1</w:t>
      </w:r>
      <w:r w:rsidR="00507EA7" w:rsidRPr="0097779A">
        <w:rPr>
          <w:rFonts w:ascii="Times New Roman" w:eastAsiaTheme="minorEastAsia" w:hAnsi="Times New Roman" w:cs="Times New Roman"/>
          <w:color w:val="auto"/>
          <w:sz w:val="21"/>
          <w:szCs w:val="21"/>
        </w:rPr>
        <w:t xml:space="preserve">-bis </w:t>
      </w:r>
      <w:r w:rsidR="00180A74" w:rsidRPr="0097779A">
        <w:rPr>
          <w:rFonts w:ascii="Times New Roman" w:eastAsiaTheme="minorEastAsia" w:hAnsi="Times New Roman" w:cs="Times New Roman"/>
          <w:color w:val="auto"/>
          <w:sz w:val="21"/>
          <w:szCs w:val="21"/>
        </w:rPr>
        <w:t>e-</w:t>
      </w:r>
      <w:r w:rsidR="00FB36A0" w:rsidRPr="0097779A">
        <w:rPr>
          <w:rFonts w:ascii="Times New Roman" w:eastAsiaTheme="minorEastAsia" w:hAnsi="Times New Roman" w:cs="Times New Roman"/>
          <w:color w:val="auto"/>
          <w:sz w:val="21"/>
          <w:szCs w:val="21"/>
        </w:rPr>
        <w:t>meeting</w:t>
      </w:r>
      <w:r w:rsidRPr="0097779A">
        <w:rPr>
          <w:rFonts w:ascii="Times New Roman" w:eastAsiaTheme="minorEastAsia" w:hAnsi="Times New Roman" w:cs="Times New Roman"/>
          <w:color w:val="auto"/>
          <w:sz w:val="21"/>
          <w:szCs w:val="21"/>
        </w:rPr>
        <w:t xml:space="preserve"> </w:t>
      </w:r>
      <w:r w:rsidR="00FB36A0" w:rsidRPr="0097779A">
        <w:rPr>
          <w:rFonts w:ascii="Times New Roman" w:eastAsiaTheme="minorEastAsia" w:hAnsi="Times New Roman" w:cs="Times New Roman"/>
          <w:color w:val="auto"/>
          <w:sz w:val="21"/>
          <w:szCs w:val="21"/>
        </w:rPr>
        <w:t>[</w:t>
      </w:r>
      <w:r w:rsidRPr="0097779A">
        <w:rPr>
          <w:rFonts w:ascii="Times New Roman" w:eastAsiaTheme="minorEastAsia" w:hAnsi="Times New Roman" w:cs="Times New Roman"/>
          <w:color w:val="auto"/>
          <w:sz w:val="21"/>
          <w:szCs w:val="21"/>
        </w:rPr>
        <w:t>1</w:t>
      </w:r>
      <w:r w:rsidR="00FB36A0" w:rsidRPr="0097779A">
        <w:rPr>
          <w:rFonts w:ascii="Times New Roman" w:eastAsiaTheme="minorEastAsia" w:hAnsi="Times New Roman" w:cs="Times New Roman"/>
          <w:color w:val="auto"/>
          <w:sz w:val="21"/>
          <w:szCs w:val="21"/>
        </w:rPr>
        <w:t>].</w:t>
      </w:r>
      <w:r w:rsidR="00983511" w:rsidRPr="0097779A">
        <w:rPr>
          <w:rFonts w:ascii="Times New Roman" w:eastAsiaTheme="minorEastAsia" w:hAnsi="Times New Roman" w:cs="Times New Roman"/>
          <w:color w:val="auto"/>
          <w:sz w:val="21"/>
          <w:szCs w:val="21"/>
        </w:rPr>
        <w:t xml:space="preserve"> </w:t>
      </w:r>
      <w:proofErr w:type="gramStart"/>
      <w:r w:rsidR="005E47D6" w:rsidRPr="0097779A">
        <w:rPr>
          <w:rFonts w:ascii="Times New Roman" w:eastAsiaTheme="minorEastAsia" w:hAnsi="Times New Roman" w:cs="Times New Roman"/>
          <w:color w:val="auto"/>
          <w:sz w:val="21"/>
          <w:szCs w:val="21"/>
        </w:rPr>
        <w:t>A</w:t>
      </w:r>
      <w:r w:rsidR="00267EC9" w:rsidRPr="0097779A">
        <w:rPr>
          <w:rFonts w:ascii="Times New Roman" w:eastAsiaTheme="minorEastAsia" w:hAnsi="Times New Roman" w:cs="Times New Roman"/>
          <w:color w:val="auto"/>
          <w:sz w:val="21"/>
          <w:szCs w:val="21"/>
        </w:rPr>
        <w:t>n</w:t>
      </w:r>
      <w:proofErr w:type="gramEnd"/>
      <w:r w:rsidR="00267EC9" w:rsidRPr="0097779A">
        <w:rPr>
          <w:rFonts w:ascii="Times New Roman" w:eastAsiaTheme="minorEastAsia" w:hAnsi="Times New Roman" w:cs="Times New Roman"/>
          <w:color w:val="auto"/>
          <w:sz w:val="21"/>
          <w:szCs w:val="21"/>
        </w:rPr>
        <w:t xml:space="preserve"> LS </w:t>
      </w:r>
      <w:r w:rsidR="00B432B2" w:rsidRPr="0097779A">
        <w:rPr>
          <w:rFonts w:ascii="Times New Roman" w:eastAsiaTheme="minorEastAsia" w:hAnsi="Times New Roman" w:cs="Times New Roman"/>
          <w:color w:val="auto"/>
          <w:sz w:val="21"/>
          <w:szCs w:val="21"/>
        </w:rPr>
        <w:t xml:space="preserve">reply </w:t>
      </w:r>
      <w:r w:rsidR="00267EC9" w:rsidRPr="0097779A">
        <w:rPr>
          <w:rFonts w:ascii="Times New Roman" w:eastAsiaTheme="minorEastAsia" w:hAnsi="Times New Roman" w:cs="Times New Roman"/>
          <w:color w:val="auto"/>
          <w:sz w:val="21"/>
          <w:szCs w:val="21"/>
        </w:rPr>
        <w:t>was</w:t>
      </w:r>
      <w:r w:rsidR="005E47D6" w:rsidRPr="0097779A">
        <w:rPr>
          <w:rFonts w:ascii="Times New Roman" w:eastAsiaTheme="minorEastAsia" w:hAnsi="Times New Roman" w:cs="Times New Roman"/>
          <w:color w:val="auto"/>
          <w:sz w:val="21"/>
          <w:szCs w:val="21"/>
        </w:rPr>
        <w:t xml:space="preserve"> also</w:t>
      </w:r>
      <w:r w:rsidR="00267EC9" w:rsidRPr="0097779A">
        <w:rPr>
          <w:rFonts w:ascii="Times New Roman" w:eastAsiaTheme="minorEastAsia" w:hAnsi="Times New Roman" w:cs="Times New Roman"/>
          <w:color w:val="auto"/>
          <w:sz w:val="21"/>
          <w:szCs w:val="21"/>
        </w:rPr>
        <w:t xml:space="preserve"> sent </w:t>
      </w:r>
      <w:r w:rsidR="00B432B2" w:rsidRPr="0097779A">
        <w:rPr>
          <w:rFonts w:ascii="Times New Roman" w:eastAsiaTheme="minorEastAsia" w:hAnsi="Times New Roman" w:cs="Times New Roman"/>
          <w:color w:val="auto"/>
          <w:sz w:val="21"/>
          <w:szCs w:val="21"/>
        </w:rPr>
        <w:t>from RAN2 on Pre-configured MG</w:t>
      </w:r>
      <w:r w:rsidR="005E47D6" w:rsidRPr="0097779A">
        <w:rPr>
          <w:rFonts w:ascii="Times New Roman" w:eastAsiaTheme="minorEastAsia" w:hAnsi="Times New Roman" w:cs="Times New Roman"/>
          <w:color w:val="auto"/>
          <w:sz w:val="21"/>
          <w:szCs w:val="21"/>
        </w:rPr>
        <w:t xml:space="preserve"> </w:t>
      </w:r>
      <w:r w:rsidR="00B432B2" w:rsidRPr="0097779A">
        <w:rPr>
          <w:rFonts w:ascii="Times New Roman" w:eastAsiaTheme="minorEastAsia" w:hAnsi="Times New Roman" w:cs="Times New Roman"/>
          <w:color w:val="auto"/>
          <w:sz w:val="21"/>
          <w:szCs w:val="21"/>
        </w:rPr>
        <w:t>[2].</w:t>
      </w:r>
      <w:r w:rsidR="005C161C" w:rsidRPr="0097779A">
        <w:rPr>
          <w:rFonts w:ascii="Times New Roman" w:eastAsiaTheme="minorEastAsia" w:hAnsi="Times New Roman" w:cs="Times New Roman"/>
          <w:color w:val="auto"/>
          <w:sz w:val="21"/>
          <w:szCs w:val="21"/>
        </w:rPr>
        <w:t xml:space="preserve"> </w:t>
      </w:r>
      <w:r w:rsidR="00D24E48" w:rsidRPr="0097779A">
        <w:rPr>
          <w:rFonts w:ascii="Times New Roman" w:eastAsiaTheme="minorEastAsia" w:hAnsi="Times New Roman" w:cs="Times New Roman"/>
          <w:color w:val="auto"/>
          <w:sz w:val="21"/>
          <w:szCs w:val="21"/>
        </w:rPr>
        <w:t xml:space="preserve">In this contribution, we provide </w:t>
      </w:r>
      <w:r w:rsidR="00E64105" w:rsidRPr="0097779A">
        <w:rPr>
          <w:rFonts w:ascii="Times New Roman" w:eastAsiaTheme="minorEastAsia" w:hAnsi="Times New Roman" w:cs="Times New Roman"/>
          <w:color w:val="auto"/>
          <w:sz w:val="21"/>
          <w:szCs w:val="21"/>
        </w:rPr>
        <w:t>our view</w:t>
      </w:r>
      <w:r w:rsidR="00082183" w:rsidRPr="0097779A">
        <w:rPr>
          <w:rFonts w:ascii="Times New Roman" w:eastAsiaTheme="minorEastAsia" w:hAnsi="Times New Roman" w:cs="Times New Roman"/>
          <w:color w:val="auto"/>
          <w:sz w:val="21"/>
          <w:szCs w:val="21"/>
        </w:rPr>
        <w:t>s</w:t>
      </w:r>
      <w:r w:rsidR="00E64105" w:rsidRPr="0097779A">
        <w:rPr>
          <w:rFonts w:ascii="Times New Roman" w:eastAsiaTheme="minorEastAsia" w:hAnsi="Times New Roman" w:cs="Times New Roman"/>
          <w:color w:val="auto"/>
          <w:sz w:val="21"/>
          <w:szCs w:val="21"/>
        </w:rPr>
        <w:t xml:space="preserve"> on </w:t>
      </w:r>
      <w:r w:rsidRPr="0097779A">
        <w:rPr>
          <w:rFonts w:ascii="Times New Roman" w:eastAsiaTheme="minorEastAsia" w:hAnsi="Times New Roman" w:cs="Times New Roman"/>
          <w:color w:val="auto"/>
          <w:sz w:val="21"/>
          <w:szCs w:val="21"/>
        </w:rPr>
        <w:t xml:space="preserve">the remaining issues for </w:t>
      </w:r>
      <w:r w:rsidR="00E64105" w:rsidRPr="0097779A">
        <w:rPr>
          <w:rFonts w:ascii="Times New Roman" w:eastAsiaTheme="minorEastAsia" w:hAnsi="Times New Roman" w:cs="Times New Roman"/>
          <w:color w:val="auto"/>
          <w:sz w:val="21"/>
          <w:szCs w:val="21"/>
        </w:rPr>
        <w:t>pre-configured MG pattern</w:t>
      </w:r>
      <w:r w:rsidR="00D24E48" w:rsidRPr="0097779A">
        <w:rPr>
          <w:rFonts w:ascii="Times New Roman" w:eastAsiaTheme="minorEastAsia" w:hAnsi="Times New Roman" w:cs="Times New Roman"/>
          <w:color w:val="auto"/>
          <w:sz w:val="21"/>
          <w:szCs w:val="21"/>
        </w:rPr>
        <w:t>.</w:t>
      </w:r>
    </w:p>
    <w:p w14:paraId="3A94A668" w14:textId="7C98771B" w:rsidR="0008306F" w:rsidRPr="0097779A" w:rsidRDefault="00E64105" w:rsidP="00481666">
      <w:pPr>
        <w:pStyle w:val="1"/>
        <w:numPr>
          <w:ilvl w:val="0"/>
          <w:numId w:val="1"/>
        </w:numPr>
        <w:spacing w:beforeLines="50" w:before="120" w:afterLines="50" w:after="120" w:line="360" w:lineRule="auto"/>
        <w:rPr>
          <w:rFonts w:ascii="Times New Roman" w:hAnsi="Times New Roman"/>
        </w:rPr>
      </w:pPr>
      <w:r w:rsidRPr="0097779A">
        <w:rPr>
          <w:rFonts w:ascii="Times New Roman" w:hAnsi="Times New Roman"/>
        </w:rPr>
        <w:t>Discussion</w:t>
      </w:r>
      <w:r w:rsidR="00172708" w:rsidRPr="0097779A">
        <w:rPr>
          <w:rFonts w:ascii="Times New Roman" w:hAnsi="Times New Roman"/>
        </w:rPr>
        <w:t xml:space="preserve"> </w:t>
      </w:r>
    </w:p>
    <w:p w14:paraId="4AC5DB81" w14:textId="76448465" w:rsidR="003802E4" w:rsidRPr="004A0F67" w:rsidRDefault="0008306F" w:rsidP="00481666">
      <w:pPr>
        <w:autoSpaceDE w:val="0"/>
        <w:autoSpaceDN w:val="0"/>
        <w:adjustRightInd w:val="0"/>
        <w:spacing w:beforeLines="50" w:before="120" w:afterLines="50" w:after="120" w:line="360" w:lineRule="auto"/>
        <w:rPr>
          <w:rFonts w:ascii="Times New Roman" w:hAnsi="Times New Roman" w:cs="Times New Roman"/>
          <w:szCs w:val="21"/>
        </w:rPr>
      </w:pPr>
      <w:r w:rsidRPr="004A0F67">
        <w:rPr>
          <w:rFonts w:ascii="Times New Roman" w:hAnsi="Times New Roman" w:cs="Times New Roman"/>
          <w:b/>
          <w:noProof/>
          <w:kern w:val="0"/>
          <w:szCs w:val="21"/>
        </w:rPr>
        <mc:AlternateContent>
          <mc:Choice Requires="wps">
            <w:drawing>
              <wp:inline distT="0" distB="0" distL="0" distR="0" wp14:anchorId="310C801C" wp14:editId="4697BA9E">
                <wp:extent cx="6102927" cy="1822938"/>
                <wp:effectExtent l="0" t="0" r="12700" b="25400"/>
                <wp:docPr id="4" name="文本框 4"/>
                <wp:cNvGraphicFramePr/>
                <a:graphic xmlns:a="http://schemas.openxmlformats.org/drawingml/2006/main">
                  <a:graphicData uri="http://schemas.microsoft.com/office/word/2010/wordprocessingShape">
                    <wps:wsp>
                      <wps:cNvSpPr txBox="1"/>
                      <wps:spPr>
                        <a:xfrm>
                          <a:off x="0" y="0"/>
                          <a:ext cx="6102927" cy="1822938"/>
                        </a:xfrm>
                        <a:prstGeom prst="rect">
                          <a:avLst/>
                        </a:prstGeom>
                        <a:solidFill>
                          <a:schemeClr val="lt1"/>
                        </a:solidFill>
                        <a:ln w="6350">
                          <a:solidFill>
                            <a:prstClr val="black"/>
                          </a:solidFill>
                        </a:ln>
                      </wps:spPr>
                      <wps:txbx>
                        <w:txbxContent>
                          <w:p w14:paraId="45F6FCAE" w14:textId="77777777" w:rsidR="00144608" w:rsidRPr="004A0F67" w:rsidRDefault="00144608" w:rsidP="00144608">
                            <w:pPr>
                              <w:pStyle w:val="4"/>
                              <w:ind w:left="0" w:firstLine="0"/>
                              <w:rPr>
                                <w:rFonts w:ascii="Times New Roman" w:eastAsiaTheme="minorEastAsia" w:hAnsi="Times New Roman"/>
                                <w:b/>
                                <w:bCs/>
                                <w:sz w:val="22"/>
                                <w:szCs w:val="16"/>
                                <w:u w:val="single"/>
                                <w:lang w:val="en-US"/>
                              </w:rPr>
                            </w:pPr>
                            <w:r w:rsidRPr="004A0F67">
                              <w:rPr>
                                <w:rFonts w:ascii="Times New Roman" w:eastAsiaTheme="minorEastAsia" w:hAnsi="Times New Roman"/>
                                <w:b/>
                                <w:bCs/>
                                <w:sz w:val="22"/>
                                <w:szCs w:val="16"/>
                                <w:u w:val="single"/>
                                <w:lang w:val="en-US"/>
                              </w:rPr>
                              <w:t xml:space="preserve">The exact configuration of Pre-MG used for PRS measurement </w:t>
                            </w:r>
                          </w:p>
                          <w:p w14:paraId="2F488723" w14:textId="77777777" w:rsidR="00144608" w:rsidRPr="004A0F67" w:rsidRDefault="00144608" w:rsidP="00144608">
                            <w:pPr>
                              <w:pStyle w:val="af6"/>
                              <w:widowControl/>
                              <w:numPr>
                                <w:ilvl w:val="0"/>
                                <w:numId w:val="40"/>
                              </w:numPr>
                              <w:overflowPunct w:val="0"/>
                              <w:autoSpaceDE w:val="0"/>
                              <w:autoSpaceDN w:val="0"/>
                              <w:adjustRightInd w:val="0"/>
                              <w:spacing w:after="12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 xml:space="preserve">UE shall inform network about the PRS measurement by </w:t>
                            </w:r>
                            <w:proofErr w:type="spellStart"/>
                            <w:r w:rsidRPr="004A0F67">
                              <w:rPr>
                                <w:rFonts w:ascii="Times New Roman" w:hAnsi="Times New Roman" w:cs="Times New Roman"/>
                                <w:bCs/>
                              </w:rPr>
                              <w:t>LocationMeasurementIndication</w:t>
                            </w:r>
                            <w:proofErr w:type="spellEnd"/>
                            <w:r w:rsidRPr="004A0F67">
                              <w:rPr>
                                <w:rFonts w:ascii="Times New Roman" w:hAnsi="Times New Roman" w:cs="Times New Roman"/>
                                <w:bCs/>
                              </w:rPr>
                              <w:t xml:space="preserve"> IE</w:t>
                            </w:r>
                          </w:p>
                          <w:p w14:paraId="0C752116" w14:textId="77777777" w:rsidR="00144608" w:rsidRPr="004A0F67" w:rsidRDefault="00144608" w:rsidP="00144608">
                            <w:pPr>
                              <w:pStyle w:val="af6"/>
                              <w:widowControl/>
                              <w:numPr>
                                <w:ilvl w:val="0"/>
                                <w:numId w:val="40"/>
                              </w:numPr>
                              <w:overflowPunct w:val="0"/>
                              <w:autoSpaceDE w:val="0"/>
                              <w:autoSpaceDN w:val="0"/>
                              <w:adjustRightInd w:val="0"/>
                              <w:spacing w:after="18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FFS on when this indication shall be informed to NW</w:t>
                            </w:r>
                          </w:p>
                          <w:p w14:paraId="0482F488" w14:textId="77777777" w:rsidR="00144608" w:rsidRPr="004A0F67" w:rsidRDefault="00144608" w:rsidP="00144608">
                            <w:pPr>
                              <w:pStyle w:val="af6"/>
                              <w:widowControl/>
                              <w:numPr>
                                <w:ilvl w:val="1"/>
                                <w:numId w:val="40"/>
                              </w:numPr>
                              <w:overflowPunct w:val="0"/>
                              <w:autoSpaceDE w:val="0"/>
                              <w:autoSpaceDN w:val="0"/>
                              <w:adjustRightInd w:val="0"/>
                              <w:spacing w:after="12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Option 1. when UE is going to perform PRS measurement upon the measurement gap is needed [TS38.331]</w:t>
                            </w:r>
                          </w:p>
                          <w:p w14:paraId="2EEBA6FA" w14:textId="77777777" w:rsidR="00144608" w:rsidRPr="004A0F67" w:rsidRDefault="00144608" w:rsidP="00144608">
                            <w:pPr>
                              <w:pStyle w:val="af6"/>
                              <w:widowControl/>
                              <w:numPr>
                                <w:ilvl w:val="1"/>
                                <w:numId w:val="40"/>
                              </w:numPr>
                              <w:overflowPunct w:val="0"/>
                              <w:autoSpaceDE w:val="0"/>
                              <w:autoSpaceDN w:val="0"/>
                              <w:adjustRightInd w:val="0"/>
                              <w:spacing w:after="18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Option 2. when UE is going to perform PRS with the configured Pre-MG only if UE has not informed NW before pre-MG configuration.</w:t>
                            </w:r>
                          </w:p>
                          <w:p w14:paraId="18C9E17E" w14:textId="77777777" w:rsidR="00D311DE" w:rsidRPr="004A0F67" w:rsidRDefault="00D311DE" w:rsidP="00D311DE">
                            <w:pPr>
                              <w:overflowPunct w:val="0"/>
                              <w:autoSpaceDE w:val="0"/>
                              <w:autoSpaceDN w:val="0"/>
                              <w:adjustRightInd w:val="0"/>
                              <w:spacing w:after="180"/>
                              <w:ind w:left="360"/>
                              <w:jc w:val="left"/>
                              <w:textAlignment w:val="baseline"/>
                              <w:rPr>
                                <w:rFonts w:ascii="Times New Roman" w:hAnsi="Times New Roman" w:cs="Times New Roman"/>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0C801C" id="_x0000_t202" coordsize="21600,21600" o:spt="202" path="m,l,21600r21600,l21600,xe">
                <v:stroke joinstyle="miter"/>
                <v:path gradientshapeok="t" o:connecttype="rect"/>
              </v:shapetype>
              <v:shape id="文本框 4" o:spid="_x0000_s1026" type="#_x0000_t202" style="width:480.55pt;height:14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" fillcolor="white [3201]" strokeweight=".5pt">
                <v:textbox>
                  <w:txbxContent>
                    <w:p w14:paraId="45F6FCAE" w14:textId="77777777" w:rsidR="00144608" w:rsidRPr="004A0F67" w:rsidRDefault="00144608" w:rsidP="00144608">
                      <w:pPr>
                        <w:pStyle w:val="4"/>
                        <w:ind w:left="0" w:firstLine="0"/>
                        <w:rPr>
                          <w:rFonts w:ascii="Times New Roman" w:eastAsiaTheme="minorEastAsia" w:hAnsi="Times New Roman"/>
                          <w:b/>
                          <w:bCs/>
                          <w:sz w:val="22"/>
                          <w:szCs w:val="16"/>
                          <w:u w:val="single"/>
                          <w:lang w:val="en-US"/>
                        </w:rPr>
                      </w:pPr>
                      <w:r w:rsidRPr="004A0F67">
                        <w:rPr>
                          <w:rFonts w:ascii="Times New Roman" w:eastAsiaTheme="minorEastAsia" w:hAnsi="Times New Roman"/>
                          <w:b/>
                          <w:bCs/>
                          <w:sz w:val="22"/>
                          <w:szCs w:val="16"/>
                          <w:u w:val="single"/>
                          <w:lang w:val="en-US"/>
                        </w:rPr>
                        <w:t xml:space="preserve">The exact configuration of Pre-MG used for PRS measurement </w:t>
                      </w:r>
                    </w:p>
                    <w:p w14:paraId="2F488723" w14:textId="77777777" w:rsidR="00144608" w:rsidRPr="004A0F67" w:rsidRDefault="00144608" w:rsidP="00144608">
                      <w:pPr>
                        <w:pStyle w:val="af6"/>
                        <w:widowControl/>
                        <w:numPr>
                          <w:ilvl w:val="0"/>
                          <w:numId w:val="40"/>
                        </w:numPr>
                        <w:overflowPunct w:val="0"/>
                        <w:autoSpaceDE w:val="0"/>
                        <w:autoSpaceDN w:val="0"/>
                        <w:adjustRightInd w:val="0"/>
                        <w:spacing w:after="12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 xml:space="preserve">UE shall inform network about the PRS measurement by </w:t>
                      </w:r>
                      <w:proofErr w:type="spellStart"/>
                      <w:r w:rsidRPr="004A0F67">
                        <w:rPr>
                          <w:rFonts w:ascii="Times New Roman" w:hAnsi="Times New Roman" w:cs="Times New Roman"/>
                          <w:bCs/>
                        </w:rPr>
                        <w:t>LocationMeasurementIndication</w:t>
                      </w:r>
                      <w:proofErr w:type="spellEnd"/>
                      <w:r w:rsidRPr="004A0F67">
                        <w:rPr>
                          <w:rFonts w:ascii="Times New Roman" w:hAnsi="Times New Roman" w:cs="Times New Roman"/>
                          <w:bCs/>
                        </w:rPr>
                        <w:t xml:space="preserve"> IE</w:t>
                      </w:r>
                    </w:p>
                    <w:p w14:paraId="0C752116" w14:textId="77777777" w:rsidR="00144608" w:rsidRPr="004A0F67" w:rsidRDefault="00144608" w:rsidP="00144608">
                      <w:pPr>
                        <w:pStyle w:val="af6"/>
                        <w:widowControl/>
                        <w:numPr>
                          <w:ilvl w:val="0"/>
                          <w:numId w:val="40"/>
                        </w:numPr>
                        <w:overflowPunct w:val="0"/>
                        <w:autoSpaceDE w:val="0"/>
                        <w:autoSpaceDN w:val="0"/>
                        <w:adjustRightInd w:val="0"/>
                        <w:spacing w:after="18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FFS on when this indication shall be informed to NW</w:t>
                      </w:r>
                    </w:p>
                    <w:p w14:paraId="0482F488" w14:textId="77777777" w:rsidR="00144608" w:rsidRPr="004A0F67" w:rsidRDefault="00144608" w:rsidP="00144608">
                      <w:pPr>
                        <w:pStyle w:val="af6"/>
                        <w:widowControl/>
                        <w:numPr>
                          <w:ilvl w:val="1"/>
                          <w:numId w:val="40"/>
                        </w:numPr>
                        <w:overflowPunct w:val="0"/>
                        <w:autoSpaceDE w:val="0"/>
                        <w:autoSpaceDN w:val="0"/>
                        <w:adjustRightInd w:val="0"/>
                        <w:spacing w:after="12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Option 1. when UE is going to perform PRS measurement upon the measurement gap is needed [TS38.331]</w:t>
                      </w:r>
                    </w:p>
                    <w:p w14:paraId="2EEBA6FA" w14:textId="77777777" w:rsidR="00144608" w:rsidRPr="004A0F67" w:rsidRDefault="00144608" w:rsidP="00144608">
                      <w:pPr>
                        <w:pStyle w:val="af6"/>
                        <w:widowControl/>
                        <w:numPr>
                          <w:ilvl w:val="1"/>
                          <w:numId w:val="40"/>
                        </w:numPr>
                        <w:overflowPunct w:val="0"/>
                        <w:autoSpaceDE w:val="0"/>
                        <w:autoSpaceDN w:val="0"/>
                        <w:adjustRightInd w:val="0"/>
                        <w:spacing w:after="180" w:line="259" w:lineRule="auto"/>
                        <w:contextualSpacing w:val="0"/>
                        <w:jc w:val="left"/>
                        <w:textAlignment w:val="baseline"/>
                        <w:rPr>
                          <w:rFonts w:ascii="Times New Roman" w:hAnsi="Times New Roman" w:cs="Times New Roman"/>
                          <w:bCs/>
                        </w:rPr>
                      </w:pPr>
                      <w:r w:rsidRPr="004A0F67">
                        <w:rPr>
                          <w:rFonts w:ascii="Times New Roman" w:hAnsi="Times New Roman" w:cs="Times New Roman"/>
                          <w:bCs/>
                        </w:rPr>
                        <w:t>Option 2. when UE is going to perform PRS with the configured Pre-MG only if UE has not informed NW before pre-MG configuration.</w:t>
                      </w:r>
                    </w:p>
                    <w:p w14:paraId="18C9E17E" w14:textId="77777777" w:rsidR="00D311DE" w:rsidRPr="004A0F67" w:rsidRDefault="00D311DE" w:rsidP="00D311DE">
                      <w:pPr>
                        <w:overflowPunct w:val="0"/>
                        <w:autoSpaceDE w:val="0"/>
                        <w:autoSpaceDN w:val="0"/>
                        <w:adjustRightInd w:val="0"/>
                        <w:spacing w:after="180"/>
                        <w:ind w:left="360"/>
                        <w:jc w:val="left"/>
                        <w:textAlignment w:val="baseline"/>
                        <w:rPr>
                          <w:rFonts w:ascii="Times New Roman" w:hAnsi="Times New Roman" w:cs="Times New Roman"/>
                          <w:i/>
                        </w:rPr>
                      </w:pPr>
                    </w:p>
                  </w:txbxContent>
                </v:textbox>
                <w10:anchorlock/>
              </v:shape>
            </w:pict>
          </mc:Fallback>
        </mc:AlternateContent>
      </w:r>
      <w:r w:rsidR="00044E50" w:rsidRPr="004A0F67">
        <w:rPr>
          <w:rFonts w:ascii="Times New Roman" w:hAnsi="Times New Roman" w:cs="Times New Roman"/>
          <w:kern w:val="0"/>
          <w:szCs w:val="21"/>
        </w:rPr>
        <w:t xml:space="preserve"> </w:t>
      </w:r>
      <w:r w:rsidR="0075234E" w:rsidRPr="004A0F67">
        <w:rPr>
          <w:rFonts w:ascii="Times New Roman" w:hAnsi="Times New Roman" w:cs="Times New Roman"/>
          <w:kern w:val="0"/>
          <w:szCs w:val="21"/>
        </w:rPr>
        <w:t xml:space="preserve">For legacy gap, there is no need for UE to send any indication to network for gap-needed PRS measurement. </w:t>
      </w:r>
      <w:r w:rsidR="00F91820" w:rsidRPr="004A0F67">
        <w:rPr>
          <w:rFonts w:ascii="Times New Roman" w:hAnsi="Times New Roman" w:cs="Times New Roman"/>
          <w:szCs w:val="21"/>
        </w:rPr>
        <w:t>In our view,</w:t>
      </w:r>
      <w:r w:rsidR="0075234E" w:rsidRPr="004A0F67">
        <w:rPr>
          <w:rFonts w:ascii="Times New Roman" w:hAnsi="Times New Roman" w:cs="Times New Roman"/>
          <w:szCs w:val="21"/>
        </w:rPr>
        <w:t xml:space="preserve"> </w:t>
      </w:r>
      <w:r w:rsidR="00EF2B03" w:rsidRPr="004A0F67">
        <w:rPr>
          <w:rFonts w:ascii="Times New Roman" w:hAnsi="Times New Roman" w:cs="Times New Roman"/>
          <w:szCs w:val="21"/>
        </w:rPr>
        <w:t>i</w:t>
      </w:r>
      <w:r w:rsidR="0075234E" w:rsidRPr="004A0F67">
        <w:rPr>
          <w:rFonts w:ascii="Times New Roman" w:hAnsi="Times New Roman" w:cs="Times New Roman"/>
          <w:szCs w:val="21"/>
        </w:rPr>
        <w:t>t is a</w:t>
      </w:r>
      <w:r w:rsidR="00263E32" w:rsidRPr="004A0F67">
        <w:rPr>
          <w:rFonts w:ascii="Times New Roman" w:hAnsi="Times New Roman" w:cs="Times New Roman"/>
          <w:szCs w:val="21"/>
        </w:rPr>
        <w:t xml:space="preserve"> specific case of Pre-MG that </w:t>
      </w:r>
      <w:r w:rsidR="0075234E" w:rsidRPr="004A0F67">
        <w:rPr>
          <w:rFonts w:ascii="Times New Roman" w:hAnsi="Times New Roman" w:cs="Times New Roman"/>
          <w:szCs w:val="21"/>
        </w:rPr>
        <w:t xml:space="preserve">UE shall inform network about the PRS measurement by </w:t>
      </w:r>
      <w:proofErr w:type="spellStart"/>
      <w:r w:rsidR="0075234E" w:rsidRPr="004A0F67">
        <w:rPr>
          <w:rFonts w:ascii="Times New Roman" w:hAnsi="Times New Roman" w:cs="Times New Roman"/>
          <w:szCs w:val="21"/>
        </w:rPr>
        <w:t>LocationMeasurementIndication</w:t>
      </w:r>
      <w:proofErr w:type="spellEnd"/>
      <w:r w:rsidR="0075234E" w:rsidRPr="004A0F67">
        <w:rPr>
          <w:rFonts w:ascii="Times New Roman" w:hAnsi="Times New Roman" w:cs="Times New Roman"/>
          <w:szCs w:val="21"/>
        </w:rPr>
        <w:t xml:space="preserve"> IE</w:t>
      </w:r>
      <w:r w:rsidR="00263E32" w:rsidRPr="004A0F67">
        <w:rPr>
          <w:rFonts w:ascii="Times New Roman" w:hAnsi="Times New Roman" w:cs="Times New Roman"/>
          <w:szCs w:val="21"/>
        </w:rPr>
        <w:t>. So, we think option 2 is more acceptable. This indication shall be informed to NW dedicated for Pre-MG if UE has not informed NW before pre-MG configuration.</w:t>
      </w:r>
    </w:p>
    <w:p w14:paraId="54D6FAD7" w14:textId="4688DD85" w:rsidR="00263E32" w:rsidRPr="004A0F67" w:rsidRDefault="00263E32" w:rsidP="00481666">
      <w:pPr>
        <w:autoSpaceDE w:val="0"/>
        <w:autoSpaceDN w:val="0"/>
        <w:adjustRightInd w:val="0"/>
        <w:spacing w:beforeLines="50" w:before="120" w:afterLines="50" w:after="120" w:line="360" w:lineRule="auto"/>
        <w:rPr>
          <w:rFonts w:ascii="Times New Roman" w:hAnsi="Times New Roman" w:cs="Times New Roman"/>
          <w:b/>
          <w:bCs/>
          <w:szCs w:val="21"/>
        </w:rPr>
      </w:pPr>
      <w:r w:rsidRPr="004A0F67">
        <w:rPr>
          <w:rFonts w:ascii="Times New Roman" w:hAnsi="Times New Roman" w:cs="Times New Roman"/>
          <w:b/>
          <w:bCs/>
          <w:szCs w:val="21"/>
        </w:rPr>
        <w:t>Proposal 1: This indication shall be informed to NW when UE is going to perform PRS with the configured Pre-MG only if UE has not informed NW before pre-MG configuration.</w:t>
      </w:r>
    </w:p>
    <w:tbl>
      <w:tblPr>
        <w:tblStyle w:val="af8"/>
        <w:tblW w:w="0" w:type="auto"/>
        <w:tblLook w:val="04A0" w:firstRow="1" w:lastRow="0" w:firstColumn="1" w:lastColumn="0" w:noHBand="0" w:noVBand="1"/>
      </w:tblPr>
      <w:tblGrid>
        <w:gridCol w:w="9629"/>
      </w:tblGrid>
      <w:tr w:rsidR="002D0A6B" w:rsidRPr="004A0F67" w14:paraId="6E4F721F" w14:textId="77777777" w:rsidTr="007B7AC9">
        <w:tc>
          <w:tcPr>
            <w:tcW w:w="9629" w:type="dxa"/>
          </w:tcPr>
          <w:p w14:paraId="703E3AA4" w14:textId="77777777" w:rsidR="002D0A6B" w:rsidRPr="004A0F67" w:rsidRDefault="002D0A6B" w:rsidP="007B7AC9">
            <w:pPr>
              <w:rPr>
                <w:rFonts w:ascii="Times New Roman" w:hAnsi="Times New Roman" w:cs="Times New Roman"/>
                <w:color w:val="0070C0"/>
                <w:szCs w:val="21"/>
              </w:rPr>
            </w:pPr>
            <w:r w:rsidRPr="004A0F67">
              <w:rPr>
                <w:rFonts w:ascii="Times New Roman" w:hAnsi="Times New Roman" w:cs="Times New Roman"/>
                <w:b/>
                <w:bCs/>
                <w:szCs w:val="21"/>
                <w:u w:val="single"/>
              </w:rPr>
              <w:t>Trigger events for pre-MG activation/deactivation</w:t>
            </w:r>
            <w:r w:rsidRPr="004A0F67">
              <w:rPr>
                <w:rFonts w:ascii="Times New Roman" w:hAnsi="Times New Roman" w:cs="Times New Roman"/>
                <w:color w:val="0070C0"/>
                <w:szCs w:val="21"/>
              </w:rPr>
              <w:t xml:space="preserve"> </w:t>
            </w:r>
          </w:p>
          <w:p w14:paraId="1E5C9167" w14:textId="77777777" w:rsidR="002D0A6B" w:rsidRPr="004A0F67" w:rsidRDefault="002D0A6B" w:rsidP="002D0A6B">
            <w:pPr>
              <w:pStyle w:val="af6"/>
              <w:widowControl/>
              <w:numPr>
                <w:ilvl w:val="0"/>
                <w:numId w:val="40"/>
              </w:numPr>
              <w:spacing w:after="120" w:line="252" w:lineRule="auto"/>
              <w:contextualSpacing w:val="0"/>
              <w:jc w:val="left"/>
              <w:rPr>
                <w:rFonts w:ascii="Times New Roman" w:hAnsi="Times New Roman" w:cs="Times New Roman"/>
                <w:szCs w:val="21"/>
                <w:lang w:eastAsia="ja-JP"/>
              </w:rPr>
            </w:pPr>
            <w:r w:rsidRPr="004A0F67">
              <w:rPr>
                <w:rFonts w:ascii="Times New Roman" w:hAnsi="Times New Roman" w:cs="Times New Roman"/>
                <w:szCs w:val="21"/>
                <w:lang w:eastAsia="ja-JP"/>
              </w:rPr>
              <w:t>For UE to autonomous pre-MG activation/deactivation the following trigger events may change the pre-MG activation status</w:t>
            </w:r>
          </w:p>
          <w:p w14:paraId="6042DE94" w14:textId="77777777" w:rsidR="002D0A6B" w:rsidRPr="004A0F67" w:rsidRDefault="002D0A6B" w:rsidP="002D0A6B">
            <w:pPr>
              <w:pStyle w:val="af6"/>
              <w:widowControl/>
              <w:numPr>
                <w:ilvl w:val="1"/>
                <w:numId w:val="40"/>
              </w:numPr>
              <w:spacing w:after="120" w:line="252" w:lineRule="auto"/>
              <w:contextualSpacing w:val="0"/>
              <w:jc w:val="left"/>
              <w:rPr>
                <w:rFonts w:ascii="Times New Roman" w:hAnsi="Times New Roman" w:cs="Times New Roman"/>
                <w:szCs w:val="21"/>
                <w:lang w:eastAsia="ja-JP"/>
              </w:rPr>
            </w:pPr>
            <w:r w:rsidRPr="004A0F67">
              <w:rPr>
                <w:rFonts w:ascii="Times New Roman" w:hAnsi="Times New Roman" w:cs="Times New Roman"/>
                <w:szCs w:val="21"/>
                <w:lang w:eastAsia="ja-JP"/>
              </w:rPr>
              <w:t>BWP switching by DCI/Timer based</w:t>
            </w:r>
          </w:p>
          <w:p w14:paraId="0061BC85" w14:textId="77777777" w:rsidR="002D0A6B" w:rsidRPr="004A0F67" w:rsidRDefault="002D0A6B" w:rsidP="002D0A6B">
            <w:pPr>
              <w:pStyle w:val="af6"/>
              <w:widowControl/>
              <w:numPr>
                <w:ilvl w:val="1"/>
                <w:numId w:val="40"/>
              </w:numPr>
              <w:spacing w:after="120" w:line="252" w:lineRule="auto"/>
              <w:contextualSpacing w:val="0"/>
              <w:jc w:val="left"/>
              <w:rPr>
                <w:rFonts w:ascii="Times New Roman" w:hAnsi="Times New Roman" w:cs="Times New Roman"/>
                <w:szCs w:val="21"/>
                <w:lang w:eastAsia="ja-JP"/>
              </w:rPr>
            </w:pPr>
            <w:r w:rsidRPr="004A0F67">
              <w:rPr>
                <w:rFonts w:ascii="Times New Roman" w:hAnsi="Times New Roman" w:cs="Times New Roman"/>
                <w:szCs w:val="21"/>
                <w:lang w:eastAsia="ja-JP"/>
              </w:rPr>
              <w:t xml:space="preserve">activation/de-activation of </w:t>
            </w:r>
            <w:proofErr w:type="spellStart"/>
            <w:r w:rsidRPr="004A0F67">
              <w:rPr>
                <w:rFonts w:ascii="Times New Roman" w:hAnsi="Times New Roman" w:cs="Times New Roman"/>
                <w:szCs w:val="21"/>
                <w:lang w:eastAsia="ja-JP"/>
              </w:rPr>
              <w:t>SCell</w:t>
            </w:r>
            <w:proofErr w:type="spellEnd"/>
            <w:r w:rsidRPr="004A0F67">
              <w:rPr>
                <w:rFonts w:ascii="Times New Roman" w:hAnsi="Times New Roman" w:cs="Times New Roman"/>
                <w:szCs w:val="21"/>
                <w:lang w:eastAsia="ja-JP"/>
              </w:rPr>
              <w:t>(s)</w:t>
            </w:r>
          </w:p>
          <w:p w14:paraId="4089EB3F" w14:textId="77777777" w:rsidR="002D0A6B" w:rsidRPr="004A0F67" w:rsidRDefault="002D0A6B" w:rsidP="002D0A6B">
            <w:pPr>
              <w:pStyle w:val="af6"/>
              <w:widowControl/>
              <w:numPr>
                <w:ilvl w:val="0"/>
                <w:numId w:val="40"/>
              </w:numPr>
              <w:spacing w:after="120" w:line="252" w:lineRule="auto"/>
              <w:contextualSpacing w:val="0"/>
              <w:jc w:val="left"/>
              <w:rPr>
                <w:rFonts w:ascii="Times New Roman" w:hAnsi="Times New Roman" w:cs="Times New Roman"/>
                <w:szCs w:val="21"/>
                <w:highlight w:val="yellow"/>
                <w:lang w:eastAsia="ja-JP"/>
              </w:rPr>
            </w:pPr>
            <w:r w:rsidRPr="004A0F67">
              <w:rPr>
                <w:rFonts w:ascii="Times New Roman" w:hAnsi="Times New Roman" w:cs="Times New Roman"/>
                <w:szCs w:val="21"/>
                <w:highlight w:val="yellow"/>
                <w:lang w:eastAsia="ja-JP"/>
              </w:rPr>
              <w:t>FFS how to handle other cases in terms of UE and NW behavior</w:t>
            </w:r>
          </w:p>
          <w:p w14:paraId="06129AD2" w14:textId="77777777" w:rsidR="002D0A6B" w:rsidRPr="004A0F67" w:rsidRDefault="002D0A6B" w:rsidP="002D0A6B">
            <w:pPr>
              <w:pStyle w:val="af6"/>
              <w:widowControl/>
              <w:numPr>
                <w:ilvl w:val="1"/>
                <w:numId w:val="40"/>
              </w:numPr>
              <w:spacing w:after="120" w:line="252" w:lineRule="auto"/>
              <w:contextualSpacing w:val="0"/>
              <w:jc w:val="left"/>
              <w:rPr>
                <w:rFonts w:ascii="Times New Roman" w:hAnsi="Times New Roman" w:cs="Times New Roman"/>
                <w:szCs w:val="21"/>
                <w:highlight w:val="yellow"/>
                <w:lang w:eastAsia="ja-JP"/>
              </w:rPr>
            </w:pPr>
            <w:r w:rsidRPr="004A0F67">
              <w:rPr>
                <w:rFonts w:ascii="Times New Roman" w:hAnsi="Times New Roman" w:cs="Times New Roman"/>
                <w:bCs/>
                <w:szCs w:val="21"/>
                <w:highlight w:val="yellow"/>
              </w:rPr>
              <w:t>addition/removal of any measurement object(s)</w:t>
            </w:r>
          </w:p>
          <w:p w14:paraId="12CA1E5E" w14:textId="77777777" w:rsidR="002D0A6B" w:rsidRPr="004A0F67" w:rsidRDefault="002D0A6B" w:rsidP="002D0A6B">
            <w:pPr>
              <w:pStyle w:val="af6"/>
              <w:widowControl/>
              <w:numPr>
                <w:ilvl w:val="1"/>
                <w:numId w:val="40"/>
              </w:numPr>
              <w:spacing w:after="120" w:line="252" w:lineRule="auto"/>
              <w:contextualSpacing w:val="0"/>
              <w:jc w:val="left"/>
              <w:rPr>
                <w:rFonts w:ascii="Times New Roman" w:hAnsi="Times New Roman" w:cs="Times New Roman"/>
                <w:szCs w:val="21"/>
                <w:highlight w:val="yellow"/>
                <w:lang w:eastAsia="ja-JP"/>
              </w:rPr>
            </w:pPr>
            <w:r w:rsidRPr="004A0F67">
              <w:rPr>
                <w:rFonts w:ascii="Times New Roman" w:hAnsi="Times New Roman" w:cs="Times New Roman"/>
                <w:szCs w:val="21"/>
                <w:highlight w:val="yellow"/>
                <w:lang w:eastAsia="ja-JP"/>
              </w:rPr>
              <w:t xml:space="preserve">addition/release/change of a </w:t>
            </w:r>
            <w:proofErr w:type="spellStart"/>
            <w:r w:rsidRPr="004A0F67">
              <w:rPr>
                <w:rFonts w:ascii="Times New Roman" w:hAnsi="Times New Roman" w:cs="Times New Roman"/>
                <w:szCs w:val="21"/>
                <w:highlight w:val="yellow"/>
                <w:lang w:eastAsia="ja-JP"/>
              </w:rPr>
              <w:t>SCell</w:t>
            </w:r>
            <w:proofErr w:type="spellEnd"/>
            <w:r w:rsidRPr="004A0F67">
              <w:rPr>
                <w:rFonts w:ascii="Times New Roman" w:hAnsi="Times New Roman" w:cs="Times New Roman"/>
                <w:szCs w:val="21"/>
                <w:highlight w:val="yellow"/>
                <w:lang w:eastAsia="ja-JP"/>
              </w:rPr>
              <w:t xml:space="preserve"> under CA </w:t>
            </w:r>
          </w:p>
          <w:p w14:paraId="6EFBB8D6" w14:textId="77777777" w:rsidR="002D0A6B" w:rsidRPr="004A0F67" w:rsidRDefault="002D0A6B" w:rsidP="002D0A6B">
            <w:pPr>
              <w:pStyle w:val="af6"/>
              <w:widowControl/>
              <w:numPr>
                <w:ilvl w:val="1"/>
                <w:numId w:val="40"/>
              </w:numPr>
              <w:spacing w:after="120" w:line="252" w:lineRule="auto"/>
              <w:contextualSpacing w:val="0"/>
              <w:jc w:val="left"/>
              <w:rPr>
                <w:rFonts w:ascii="Times New Roman" w:hAnsi="Times New Roman" w:cs="Times New Roman"/>
                <w:szCs w:val="21"/>
                <w:highlight w:val="yellow"/>
                <w:lang w:eastAsia="ja-JP"/>
              </w:rPr>
            </w:pPr>
            <w:r w:rsidRPr="004A0F67">
              <w:rPr>
                <w:rFonts w:ascii="Times New Roman" w:hAnsi="Times New Roman" w:cs="Times New Roman"/>
                <w:szCs w:val="21"/>
                <w:highlight w:val="yellow"/>
                <w:lang w:eastAsia="ja-JP"/>
              </w:rPr>
              <w:lastRenderedPageBreak/>
              <w:t>BWP switching by RRC</w:t>
            </w:r>
          </w:p>
          <w:p w14:paraId="49EEEEE4" w14:textId="77777777" w:rsidR="002D0A6B" w:rsidRPr="004A0F67" w:rsidRDefault="002D0A6B" w:rsidP="002D0A6B">
            <w:pPr>
              <w:pStyle w:val="af6"/>
              <w:widowControl/>
              <w:numPr>
                <w:ilvl w:val="1"/>
                <w:numId w:val="40"/>
              </w:numPr>
              <w:spacing w:after="120" w:line="252" w:lineRule="auto"/>
              <w:contextualSpacing w:val="0"/>
              <w:jc w:val="left"/>
              <w:rPr>
                <w:rFonts w:ascii="Times New Roman" w:hAnsi="Times New Roman" w:cs="Times New Roman"/>
                <w:szCs w:val="21"/>
                <w:highlight w:val="yellow"/>
                <w:lang w:eastAsia="ja-JP"/>
              </w:rPr>
            </w:pPr>
            <w:r w:rsidRPr="004A0F67">
              <w:rPr>
                <w:rFonts w:ascii="Times New Roman" w:hAnsi="Times New Roman" w:cs="Times New Roman"/>
                <w:szCs w:val="21"/>
                <w:highlight w:val="yellow"/>
                <w:lang w:eastAsia="ja-JP"/>
              </w:rPr>
              <w:t>LPP positioning request</w:t>
            </w:r>
          </w:p>
        </w:tc>
      </w:tr>
    </w:tbl>
    <w:p w14:paraId="6105F499" w14:textId="36AFBF09" w:rsidR="002D0A6B" w:rsidRPr="004A0F67" w:rsidRDefault="002D0A6B" w:rsidP="002D0A6B">
      <w:pPr>
        <w:spacing w:beforeLines="50" w:before="120" w:afterLines="50" w:after="120" w:line="360" w:lineRule="auto"/>
        <w:rPr>
          <w:rFonts w:ascii="Times New Roman" w:hAnsi="Times New Roman" w:cs="Times New Roman"/>
          <w:szCs w:val="21"/>
        </w:rPr>
      </w:pPr>
      <w:r w:rsidRPr="004A0F67">
        <w:rPr>
          <w:rFonts w:ascii="Times New Roman" w:hAnsi="Times New Roman" w:cs="Times New Roman"/>
          <w:szCs w:val="21"/>
        </w:rPr>
        <w:lastRenderedPageBreak/>
        <w:t xml:space="preserve">Though we agree that all conditions involving RRC (re)configuration could have impact on the activation status of </w:t>
      </w:r>
      <w:r w:rsidR="00A767A2">
        <w:rPr>
          <w:rFonts w:ascii="Times New Roman" w:hAnsi="Times New Roman" w:cs="Times New Roman"/>
          <w:szCs w:val="21"/>
        </w:rPr>
        <w:t>P</w:t>
      </w:r>
      <w:r w:rsidRPr="004A0F67">
        <w:rPr>
          <w:rFonts w:ascii="Times New Roman" w:hAnsi="Times New Roman" w:cs="Times New Roman"/>
          <w:szCs w:val="21"/>
        </w:rPr>
        <w:t>re-MG. As enhancement for pre-configured MG, pre-configured MG triggered by other than BWP switch can be postponed to the later release.</w:t>
      </w:r>
    </w:p>
    <w:p w14:paraId="3C8581E6" w14:textId="0E1E65BD" w:rsidR="002D0A6B" w:rsidRPr="004A0F67" w:rsidRDefault="002D0A6B" w:rsidP="0097779A">
      <w:pPr>
        <w:pStyle w:val="proposal"/>
        <w:rPr>
          <w:sz w:val="21"/>
          <w:szCs w:val="21"/>
        </w:rPr>
      </w:pPr>
      <w:r w:rsidRPr="004A0F67">
        <w:rPr>
          <w:sz w:val="21"/>
          <w:szCs w:val="21"/>
        </w:rPr>
        <w:t>Proposal 2: Pre-configured MG triggered by other than BWP switch</w:t>
      </w:r>
      <w:r w:rsidR="00B0609F">
        <w:rPr>
          <w:sz w:val="21"/>
          <w:szCs w:val="21"/>
        </w:rPr>
        <w:t xml:space="preserve"> and </w:t>
      </w:r>
      <w:r w:rsidR="00B0609F" w:rsidRPr="004A0F67">
        <w:rPr>
          <w:szCs w:val="21"/>
          <w:lang w:eastAsia="ja-JP"/>
        </w:rPr>
        <w:t xml:space="preserve">activation/de-activation of </w:t>
      </w:r>
      <w:proofErr w:type="spellStart"/>
      <w:r w:rsidR="00B0609F" w:rsidRPr="004A0F67">
        <w:rPr>
          <w:szCs w:val="21"/>
          <w:lang w:eastAsia="ja-JP"/>
        </w:rPr>
        <w:t>SCell</w:t>
      </w:r>
      <w:proofErr w:type="spellEnd"/>
      <w:r w:rsidR="00B0609F" w:rsidRPr="004A0F67">
        <w:rPr>
          <w:szCs w:val="21"/>
          <w:lang w:eastAsia="ja-JP"/>
        </w:rPr>
        <w:t>(s)</w:t>
      </w:r>
      <w:r w:rsidRPr="004A0F67">
        <w:rPr>
          <w:sz w:val="21"/>
          <w:szCs w:val="21"/>
        </w:rPr>
        <w:t xml:space="preserve"> can be postponed to the later release.</w:t>
      </w:r>
    </w:p>
    <w:tbl>
      <w:tblPr>
        <w:tblStyle w:val="af8"/>
        <w:tblW w:w="0" w:type="auto"/>
        <w:tblLook w:val="04A0" w:firstRow="1" w:lastRow="0" w:firstColumn="1" w:lastColumn="0" w:noHBand="0" w:noVBand="1"/>
      </w:tblPr>
      <w:tblGrid>
        <w:gridCol w:w="9629"/>
      </w:tblGrid>
      <w:tr w:rsidR="002D0A6B" w:rsidRPr="004A0F67" w14:paraId="2FA64A5D" w14:textId="77777777" w:rsidTr="007B7AC9">
        <w:tc>
          <w:tcPr>
            <w:tcW w:w="9629" w:type="dxa"/>
          </w:tcPr>
          <w:p w14:paraId="2FF2D701" w14:textId="77777777" w:rsidR="002D0A6B" w:rsidRPr="004A0F67" w:rsidRDefault="002D0A6B" w:rsidP="007B7AC9">
            <w:pPr>
              <w:pStyle w:val="4"/>
              <w:ind w:left="0" w:firstLine="0"/>
              <w:rPr>
                <w:rFonts w:ascii="Times New Roman" w:eastAsiaTheme="minorEastAsia" w:hAnsi="Times New Roman"/>
                <w:b/>
                <w:bCs/>
                <w:sz w:val="21"/>
                <w:szCs w:val="21"/>
                <w:u w:val="single"/>
                <w:lang w:val="en-US"/>
              </w:rPr>
            </w:pPr>
            <w:r w:rsidRPr="004A0F67">
              <w:rPr>
                <w:rFonts w:ascii="Times New Roman" w:eastAsiaTheme="minorEastAsia" w:hAnsi="Times New Roman"/>
                <w:b/>
                <w:bCs/>
                <w:sz w:val="21"/>
                <w:szCs w:val="21"/>
                <w:u w:val="single"/>
                <w:lang w:val="en-US"/>
              </w:rPr>
              <w:t>How to determine pre-MG (de)activation status when multiple trigger events happened</w:t>
            </w:r>
          </w:p>
          <w:p w14:paraId="34DA2410" w14:textId="00E680DF" w:rsidR="002D0A6B" w:rsidRPr="004A0F67" w:rsidRDefault="002D0A6B" w:rsidP="002D0A6B">
            <w:pPr>
              <w:rPr>
                <w:rFonts w:ascii="Times New Roman" w:hAnsi="Times New Roman" w:cs="Times New Roman"/>
                <w:szCs w:val="21"/>
              </w:rPr>
            </w:pPr>
            <w:r w:rsidRPr="004A0F67">
              <w:rPr>
                <w:rFonts w:ascii="Times New Roman" w:hAnsi="Times New Roman" w:cs="Times New Roman"/>
                <w:szCs w:val="21"/>
              </w:rPr>
              <w:t xml:space="preserve">FFS on Option 1: pre-MG can be (de)activated by BWP switching and </w:t>
            </w:r>
            <w:proofErr w:type="spellStart"/>
            <w:r w:rsidRPr="004A0F67">
              <w:rPr>
                <w:rFonts w:ascii="Times New Roman" w:hAnsi="Times New Roman" w:cs="Times New Roman"/>
                <w:szCs w:val="21"/>
              </w:rPr>
              <w:t>SCell</w:t>
            </w:r>
            <w:proofErr w:type="spellEnd"/>
            <w:r w:rsidRPr="004A0F67">
              <w:rPr>
                <w:rFonts w:ascii="Times New Roman" w:hAnsi="Times New Roman" w:cs="Times New Roman"/>
                <w:szCs w:val="21"/>
              </w:rPr>
              <w:t xml:space="preserve"> activation independently</w:t>
            </w:r>
          </w:p>
        </w:tc>
      </w:tr>
    </w:tbl>
    <w:p w14:paraId="2DB5F667" w14:textId="68EBF6F2" w:rsidR="00A537C9" w:rsidRPr="004A0F67" w:rsidRDefault="00C000D7" w:rsidP="0097779A">
      <w:pPr>
        <w:pStyle w:val="proposal"/>
        <w:rPr>
          <w:sz w:val="21"/>
          <w:szCs w:val="21"/>
          <w:lang w:eastAsia="ja-JP"/>
        </w:rPr>
      </w:pPr>
      <w:r w:rsidRPr="004A0F67">
        <w:rPr>
          <w:b w:val="0"/>
          <w:sz w:val="21"/>
          <w:szCs w:val="21"/>
        </w:rPr>
        <w:t xml:space="preserve">RAN4 has also agreed activation/de-activation of </w:t>
      </w:r>
      <w:proofErr w:type="spellStart"/>
      <w:r w:rsidRPr="004A0F67">
        <w:rPr>
          <w:b w:val="0"/>
          <w:sz w:val="21"/>
          <w:szCs w:val="21"/>
        </w:rPr>
        <w:t>SCell</w:t>
      </w:r>
      <w:proofErr w:type="spellEnd"/>
      <w:r w:rsidRPr="004A0F67">
        <w:rPr>
          <w:b w:val="0"/>
          <w:sz w:val="21"/>
          <w:szCs w:val="21"/>
        </w:rPr>
        <w:t xml:space="preserve">(s) as </w:t>
      </w:r>
      <w:r w:rsidRPr="004A0F67">
        <w:rPr>
          <w:b w:val="0"/>
          <w:sz w:val="21"/>
          <w:szCs w:val="21"/>
          <w:lang w:eastAsia="ja-JP"/>
        </w:rPr>
        <w:t xml:space="preserve">trigger events to change the pre-MG activation status. </w:t>
      </w:r>
      <w:r w:rsidR="00F97B20" w:rsidRPr="004A0F67">
        <w:rPr>
          <w:b w:val="0"/>
          <w:sz w:val="21"/>
          <w:szCs w:val="21"/>
          <w:lang w:eastAsia="ja-JP"/>
        </w:rPr>
        <w:t xml:space="preserve">Pre-MG can be (de)activated by BWP switching and </w:t>
      </w:r>
      <w:proofErr w:type="spellStart"/>
      <w:r w:rsidR="00F97B20" w:rsidRPr="004A0F67">
        <w:rPr>
          <w:b w:val="0"/>
          <w:sz w:val="21"/>
          <w:szCs w:val="21"/>
          <w:lang w:eastAsia="ja-JP"/>
        </w:rPr>
        <w:t>SCell</w:t>
      </w:r>
      <w:proofErr w:type="spellEnd"/>
      <w:r w:rsidR="00F97B20" w:rsidRPr="004A0F67">
        <w:rPr>
          <w:b w:val="0"/>
          <w:sz w:val="21"/>
          <w:szCs w:val="21"/>
          <w:lang w:eastAsia="ja-JP"/>
        </w:rPr>
        <w:t xml:space="preserve"> activation independently. If </w:t>
      </w:r>
      <w:r w:rsidRPr="004A0F67">
        <w:rPr>
          <w:b w:val="0"/>
          <w:sz w:val="21"/>
          <w:szCs w:val="21"/>
          <w:lang w:eastAsia="ja-JP"/>
        </w:rPr>
        <w:t xml:space="preserve">DCI or timer-based BWP switch </w:t>
      </w:r>
      <w:r w:rsidR="00F97B20" w:rsidRPr="004A0F67">
        <w:rPr>
          <w:b w:val="0"/>
          <w:sz w:val="21"/>
          <w:szCs w:val="21"/>
          <w:lang w:eastAsia="ja-JP"/>
        </w:rPr>
        <w:t>could</w:t>
      </w:r>
      <w:r w:rsidRPr="004A0F67">
        <w:rPr>
          <w:b w:val="0"/>
          <w:sz w:val="21"/>
          <w:szCs w:val="21"/>
          <w:lang w:eastAsia="ja-JP"/>
        </w:rPr>
        <w:t xml:space="preserve"> collide with </w:t>
      </w:r>
      <w:proofErr w:type="spellStart"/>
      <w:r w:rsidRPr="004A0F67">
        <w:rPr>
          <w:b w:val="0"/>
          <w:sz w:val="21"/>
          <w:szCs w:val="21"/>
          <w:lang w:eastAsia="ja-JP"/>
        </w:rPr>
        <w:t>SCell</w:t>
      </w:r>
      <w:proofErr w:type="spellEnd"/>
      <w:r w:rsidRPr="004A0F67">
        <w:rPr>
          <w:b w:val="0"/>
          <w:sz w:val="21"/>
          <w:szCs w:val="21"/>
          <w:lang w:eastAsia="ja-JP"/>
        </w:rPr>
        <w:t xml:space="preserve"> activation</w:t>
      </w:r>
      <w:r w:rsidR="00F97B20" w:rsidRPr="004A0F67">
        <w:rPr>
          <w:b w:val="0"/>
          <w:sz w:val="21"/>
          <w:szCs w:val="21"/>
          <w:lang w:eastAsia="ja-JP"/>
        </w:rPr>
        <w:t>, UE shall follow the rules by combining the pre-MG status indication for all CCs for all configured measurement objects</w:t>
      </w:r>
      <w:r w:rsidR="00F97B20" w:rsidRPr="004A0F67">
        <w:rPr>
          <w:sz w:val="21"/>
          <w:szCs w:val="21"/>
          <w:lang w:eastAsia="ja-JP"/>
        </w:rPr>
        <w:t>.</w:t>
      </w:r>
    </w:p>
    <w:p w14:paraId="5F2D8533" w14:textId="3F6D884E" w:rsidR="00F97B20" w:rsidRPr="004A0F67" w:rsidRDefault="00F97B20" w:rsidP="0097779A">
      <w:pPr>
        <w:pStyle w:val="proposal"/>
        <w:rPr>
          <w:sz w:val="21"/>
          <w:szCs w:val="21"/>
        </w:rPr>
      </w:pPr>
      <w:r w:rsidRPr="004A0F67">
        <w:rPr>
          <w:sz w:val="21"/>
          <w:szCs w:val="21"/>
        </w:rPr>
        <w:t xml:space="preserve">Proposal 3: Pre-MG can be (de)activated by BWP switching and </w:t>
      </w:r>
      <w:proofErr w:type="spellStart"/>
      <w:r w:rsidRPr="004A0F67">
        <w:rPr>
          <w:sz w:val="21"/>
          <w:szCs w:val="21"/>
        </w:rPr>
        <w:t>SCell</w:t>
      </w:r>
      <w:proofErr w:type="spellEnd"/>
      <w:r w:rsidRPr="004A0F67">
        <w:rPr>
          <w:sz w:val="21"/>
          <w:szCs w:val="21"/>
        </w:rPr>
        <w:t xml:space="preserve"> activation independently.</w:t>
      </w:r>
    </w:p>
    <w:p w14:paraId="64D0F908" w14:textId="77777777" w:rsidR="00EF2B03" w:rsidRPr="004A0F67" w:rsidRDefault="00EF2B03" w:rsidP="00EF2B03">
      <w:pPr>
        <w:autoSpaceDE w:val="0"/>
        <w:autoSpaceDN w:val="0"/>
        <w:adjustRightInd w:val="0"/>
        <w:spacing w:beforeLines="50" w:before="120" w:afterLines="50" w:after="120" w:line="360" w:lineRule="auto"/>
        <w:rPr>
          <w:rFonts w:ascii="Times New Roman" w:hAnsi="Times New Roman" w:cs="Times New Roman"/>
          <w:kern w:val="0"/>
          <w:szCs w:val="21"/>
        </w:rPr>
      </w:pPr>
      <w:r w:rsidRPr="004A0F67">
        <w:rPr>
          <w:rFonts w:ascii="Times New Roman" w:hAnsi="Times New Roman" w:cs="Times New Roman"/>
          <w:kern w:val="0"/>
          <w:szCs w:val="21"/>
        </w:rPr>
        <w:t>The principle for the signaling-based Pre-MG (de)activation under CA can be based on:</w:t>
      </w:r>
    </w:p>
    <w:p w14:paraId="3FEE9D52" w14:textId="77777777" w:rsidR="00EF2B03" w:rsidRPr="004A0F67" w:rsidRDefault="00EF2B03" w:rsidP="00A767A2">
      <w:pPr>
        <w:autoSpaceDE w:val="0"/>
        <w:autoSpaceDN w:val="0"/>
        <w:adjustRightInd w:val="0"/>
        <w:spacing w:beforeLines="50" w:before="120" w:afterLines="50" w:after="120" w:line="360" w:lineRule="auto"/>
        <w:ind w:leftChars="200" w:left="420"/>
        <w:rPr>
          <w:rFonts w:ascii="Times New Roman" w:hAnsi="Times New Roman" w:cs="Times New Roman"/>
          <w:kern w:val="0"/>
          <w:szCs w:val="21"/>
        </w:rPr>
      </w:pPr>
      <w:r w:rsidRPr="004A0F67">
        <w:rPr>
          <w:rFonts w:ascii="Times New Roman" w:hAnsi="Times New Roman" w:cs="Times New Roman"/>
          <w:kern w:val="0"/>
          <w:szCs w:val="21"/>
        </w:rPr>
        <w:t>-</w:t>
      </w:r>
      <w:r w:rsidRPr="004A0F67">
        <w:rPr>
          <w:rFonts w:ascii="Times New Roman" w:hAnsi="Times New Roman" w:cs="Times New Roman"/>
          <w:kern w:val="0"/>
          <w:szCs w:val="21"/>
        </w:rPr>
        <w:tab/>
        <w:t>NW will forward the per-BWP pre-MG status indications to UE by RRC message, which is defined for each of induvial CCs (e.g. Table S1, S2 for the CC1 and CC2 respectively)</w:t>
      </w:r>
    </w:p>
    <w:p w14:paraId="33970C5E" w14:textId="139A77F0" w:rsidR="00FA1601" w:rsidRPr="004A0F67" w:rsidRDefault="00EF2B03" w:rsidP="00A767A2">
      <w:pPr>
        <w:autoSpaceDE w:val="0"/>
        <w:autoSpaceDN w:val="0"/>
        <w:adjustRightInd w:val="0"/>
        <w:spacing w:beforeLines="50" w:before="120" w:afterLines="50" w:after="120" w:line="360" w:lineRule="auto"/>
        <w:ind w:leftChars="200" w:left="420"/>
        <w:rPr>
          <w:rFonts w:ascii="Times New Roman" w:hAnsi="Times New Roman" w:cs="Times New Roman"/>
          <w:kern w:val="0"/>
          <w:szCs w:val="21"/>
        </w:rPr>
      </w:pPr>
      <w:r w:rsidRPr="004A0F67">
        <w:rPr>
          <w:rFonts w:ascii="Times New Roman" w:hAnsi="Times New Roman" w:cs="Times New Roman"/>
          <w:kern w:val="0"/>
          <w:szCs w:val="21"/>
        </w:rPr>
        <w:t>-</w:t>
      </w:r>
      <w:r w:rsidRPr="004A0F67">
        <w:rPr>
          <w:rFonts w:ascii="Times New Roman" w:hAnsi="Times New Roman" w:cs="Times New Roman"/>
          <w:kern w:val="0"/>
          <w:szCs w:val="21"/>
        </w:rPr>
        <w:tab/>
        <w:t>UE will combined the pre-MG status indication from NW for each induvial CC for all configured measurement objects.</w:t>
      </w:r>
    </w:p>
    <w:tbl>
      <w:tblPr>
        <w:tblStyle w:val="af8"/>
        <w:tblW w:w="0" w:type="auto"/>
        <w:tblLook w:val="04A0" w:firstRow="1" w:lastRow="0" w:firstColumn="1" w:lastColumn="0" w:noHBand="0" w:noVBand="1"/>
      </w:tblPr>
      <w:tblGrid>
        <w:gridCol w:w="9629"/>
      </w:tblGrid>
      <w:tr w:rsidR="00263E32" w:rsidRPr="004A0F67" w14:paraId="3D798C35" w14:textId="77777777" w:rsidTr="00263E32">
        <w:tc>
          <w:tcPr>
            <w:tcW w:w="9629" w:type="dxa"/>
          </w:tcPr>
          <w:p w14:paraId="6C2429BF" w14:textId="77777777" w:rsidR="00FA1601" w:rsidRPr="004A0F67" w:rsidRDefault="00FA1601" w:rsidP="00FA1601">
            <w:pPr>
              <w:pStyle w:val="af6"/>
              <w:widowControl/>
              <w:numPr>
                <w:ilvl w:val="0"/>
                <w:numId w:val="36"/>
              </w:numPr>
              <w:overflowPunct w:val="0"/>
              <w:autoSpaceDE w:val="0"/>
              <w:autoSpaceDN w:val="0"/>
              <w:adjustRightInd w:val="0"/>
              <w:contextualSpacing w:val="0"/>
              <w:jc w:val="left"/>
              <w:textAlignment w:val="baseline"/>
              <w:rPr>
                <w:rFonts w:ascii="Times New Roman" w:hAnsi="Times New Roman" w:cs="Times New Roman"/>
                <w:b/>
                <w:szCs w:val="21"/>
              </w:rPr>
            </w:pPr>
            <w:r w:rsidRPr="004A0F67">
              <w:rPr>
                <w:rFonts w:ascii="Times New Roman" w:hAnsi="Times New Roman" w:cs="Times New Roman"/>
                <w:b/>
                <w:szCs w:val="21"/>
              </w:rPr>
              <w:t xml:space="preserve">FFS on the rules on how to combine the individual per-BWP pre-MG </w:t>
            </w:r>
            <w:proofErr w:type="gramStart"/>
            <w:r w:rsidRPr="004A0F67">
              <w:rPr>
                <w:rFonts w:ascii="Times New Roman" w:hAnsi="Times New Roman" w:cs="Times New Roman"/>
                <w:b/>
                <w:szCs w:val="21"/>
              </w:rPr>
              <w:t>status .</w:t>
            </w:r>
            <w:proofErr w:type="gramEnd"/>
          </w:p>
          <w:p w14:paraId="42626EA3" w14:textId="77777777" w:rsidR="00FA1601" w:rsidRPr="004A0F67" w:rsidRDefault="00FA1601" w:rsidP="00FA1601">
            <w:pPr>
              <w:pStyle w:val="af6"/>
              <w:widowControl/>
              <w:numPr>
                <w:ilvl w:val="1"/>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Option 1a</w:t>
            </w:r>
          </w:p>
          <w:p w14:paraId="553B2C92" w14:textId="77777777" w:rsidR="00FA1601" w:rsidRPr="004A0F67" w:rsidRDefault="00FA1601" w:rsidP="00FA1601">
            <w:pPr>
              <w:pStyle w:val="af6"/>
              <w:widowControl/>
              <w:numPr>
                <w:ilvl w:val="2"/>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When configured with per-UE gap, </w:t>
            </w:r>
          </w:p>
          <w:p w14:paraId="5A29B035"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assume the per-UE gap is ON as long as the pre-MG status of active DL BWP in one of the CCs is ON, </w:t>
            </w:r>
          </w:p>
          <w:p w14:paraId="0C59D2EC"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and assume the per-UE gap is OFF only if the pre-MG status of active DL BWP in all CCs </w:t>
            </w:r>
            <w:proofErr w:type="gramStart"/>
            <w:r w:rsidRPr="004A0F67">
              <w:rPr>
                <w:rFonts w:ascii="Times New Roman" w:hAnsi="Times New Roman" w:cs="Times New Roman"/>
                <w:szCs w:val="21"/>
              </w:rPr>
              <w:t>are</w:t>
            </w:r>
            <w:proofErr w:type="gramEnd"/>
            <w:r w:rsidRPr="004A0F67">
              <w:rPr>
                <w:rFonts w:ascii="Times New Roman" w:hAnsi="Times New Roman" w:cs="Times New Roman"/>
                <w:szCs w:val="21"/>
              </w:rPr>
              <w:t xml:space="preserve"> OFF. </w:t>
            </w:r>
          </w:p>
          <w:p w14:paraId="6CFD7043" w14:textId="77777777" w:rsidR="00FA1601" w:rsidRPr="004A0F67" w:rsidRDefault="00FA1601" w:rsidP="00FA1601">
            <w:pPr>
              <w:pStyle w:val="af6"/>
              <w:widowControl/>
              <w:numPr>
                <w:ilvl w:val="2"/>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When configured with per-FR gap, </w:t>
            </w:r>
          </w:p>
          <w:p w14:paraId="51C8B3F3"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assume the gap is ON as long as the pre-MG status of active DL BWP in one of the CCs in the same FR is ON, </w:t>
            </w:r>
          </w:p>
          <w:p w14:paraId="1BAC43A0"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and assume the gap is OFF only if the pre-MG status of active DL active DL BWP in all CCs in the same FR are OFF</w:t>
            </w:r>
          </w:p>
          <w:p w14:paraId="3AAB1C81" w14:textId="77777777" w:rsidR="00FA1601" w:rsidRPr="004A0F67" w:rsidRDefault="00FA1601" w:rsidP="00FA1601">
            <w:pPr>
              <w:pStyle w:val="af6"/>
              <w:widowControl/>
              <w:numPr>
                <w:ilvl w:val="1"/>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Option 1b </w:t>
            </w:r>
          </w:p>
          <w:p w14:paraId="5171505D" w14:textId="77777777" w:rsidR="00FA1601" w:rsidRPr="004A0F67" w:rsidRDefault="00FA1601" w:rsidP="00FA1601">
            <w:pPr>
              <w:pStyle w:val="af6"/>
              <w:widowControl/>
              <w:numPr>
                <w:ilvl w:val="2"/>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For per-UE pre-MG, </w:t>
            </w:r>
          </w:p>
          <w:p w14:paraId="0324CEEA"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UE assumes the pre-MG is ON as long as the pre-MG status for active DL BWP in one of the activated CCs or for one of the deactivated SCCs is ON, </w:t>
            </w:r>
          </w:p>
          <w:p w14:paraId="3622934B"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and assume the pre-MG is OFF only if the pre-MG status for active DL BWP in all activated CCs and for all deactivated SCCs are OFF. </w:t>
            </w:r>
          </w:p>
          <w:p w14:paraId="67796522" w14:textId="77777777" w:rsidR="00FA1601" w:rsidRPr="004A0F67" w:rsidRDefault="00FA1601" w:rsidP="00FA1601">
            <w:pPr>
              <w:pStyle w:val="af6"/>
              <w:widowControl/>
              <w:numPr>
                <w:ilvl w:val="2"/>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For per-FR pre-MG, </w:t>
            </w:r>
          </w:p>
          <w:p w14:paraId="3729C5BC" w14:textId="77777777" w:rsidR="00FA1601"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szCs w:val="21"/>
              </w:rPr>
            </w:pPr>
            <w:r w:rsidRPr="004A0F67">
              <w:rPr>
                <w:rFonts w:ascii="Times New Roman" w:hAnsi="Times New Roman" w:cs="Times New Roman"/>
                <w:szCs w:val="21"/>
              </w:rPr>
              <w:t xml:space="preserve">UE assumes the pre-MG is ON as long as the pre-MG status for active DL BWP in one of the activated CCs or for one of the deactivated SCCs in the same FR is ON, </w:t>
            </w:r>
          </w:p>
          <w:p w14:paraId="03A3C998" w14:textId="5673F4D8" w:rsidR="00263E32" w:rsidRPr="004A0F67" w:rsidRDefault="00FA1601" w:rsidP="00FA1601">
            <w:pPr>
              <w:pStyle w:val="af6"/>
              <w:widowControl/>
              <w:numPr>
                <w:ilvl w:val="3"/>
                <w:numId w:val="36"/>
              </w:numPr>
              <w:overflowPunct w:val="0"/>
              <w:autoSpaceDE w:val="0"/>
              <w:autoSpaceDN w:val="0"/>
              <w:adjustRightInd w:val="0"/>
              <w:contextualSpacing w:val="0"/>
              <w:jc w:val="left"/>
              <w:textAlignment w:val="baseline"/>
              <w:rPr>
                <w:rFonts w:ascii="Times New Roman" w:hAnsi="Times New Roman" w:cs="Times New Roman"/>
                <w:color w:val="0070C0"/>
                <w:szCs w:val="21"/>
              </w:rPr>
            </w:pPr>
            <w:r w:rsidRPr="004A0F67">
              <w:rPr>
                <w:rFonts w:ascii="Times New Roman" w:hAnsi="Times New Roman" w:cs="Times New Roman"/>
                <w:szCs w:val="21"/>
              </w:rPr>
              <w:t>and assume the pre-MG is OFF only if the pre-MG status for active DL BWP in all activated CCs and for all deactivated SCCs in the same FR are OFF</w:t>
            </w:r>
          </w:p>
        </w:tc>
      </w:tr>
    </w:tbl>
    <w:p w14:paraId="70099033" w14:textId="39EDD7F5" w:rsidR="00A537C9" w:rsidRPr="004A0F67" w:rsidRDefault="00A537C9" w:rsidP="00481666">
      <w:pPr>
        <w:autoSpaceDE w:val="0"/>
        <w:autoSpaceDN w:val="0"/>
        <w:adjustRightInd w:val="0"/>
        <w:spacing w:beforeLines="50" w:before="120" w:afterLines="50" w:after="120" w:line="360" w:lineRule="auto"/>
        <w:rPr>
          <w:rFonts w:ascii="Times New Roman" w:hAnsi="Times New Roman" w:cs="Times New Roman"/>
          <w:b/>
          <w:szCs w:val="21"/>
          <w:lang w:val="en-GB"/>
        </w:rPr>
      </w:pPr>
      <w:r w:rsidRPr="004A0F67">
        <w:rPr>
          <w:rFonts w:ascii="Times New Roman" w:hAnsi="Times New Roman" w:cs="Times New Roman"/>
          <w:szCs w:val="21"/>
        </w:rPr>
        <w:t xml:space="preserve">For the single carrier case the activation/deactivation status of Pre-MG should follow the active DL BWP in this </w:t>
      </w:r>
      <w:r w:rsidRPr="004A0F67">
        <w:rPr>
          <w:rFonts w:ascii="Times New Roman" w:hAnsi="Times New Roman" w:cs="Times New Roman"/>
          <w:szCs w:val="21"/>
        </w:rPr>
        <w:lastRenderedPageBreak/>
        <w:t>CC. For CA case, the pre-MG could be related to one or more CCs, but pre-MG’s status could be different per BWP. The gap status should consider all the Pre-MG status of active DL BWPs in all CCs.</w:t>
      </w:r>
    </w:p>
    <w:p w14:paraId="43189310" w14:textId="37FF5A9E" w:rsidR="001C60BC" w:rsidRPr="004A0F67" w:rsidRDefault="00C222EC" w:rsidP="00481666">
      <w:pPr>
        <w:autoSpaceDE w:val="0"/>
        <w:autoSpaceDN w:val="0"/>
        <w:adjustRightInd w:val="0"/>
        <w:spacing w:beforeLines="50" w:before="120" w:afterLines="50" w:after="120" w:line="360" w:lineRule="auto"/>
        <w:rPr>
          <w:rFonts w:ascii="Times New Roman" w:hAnsi="Times New Roman" w:cs="Times New Roman"/>
          <w:b/>
          <w:iCs/>
          <w:szCs w:val="21"/>
          <w:lang w:eastAsia="en-US"/>
        </w:rPr>
      </w:pPr>
      <w:r w:rsidRPr="004A0F67">
        <w:rPr>
          <w:rFonts w:ascii="Times New Roman" w:hAnsi="Times New Roman" w:cs="Times New Roman"/>
          <w:b/>
          <w:iCs/>
          <w:szCs w:val="21"/>
          <w:lang w:eastAsia="en-US"/>
        </w:rPr>
        <w:t xml:space="preserve">Proposal </w:t>
      </w:r>
      <w:r w:rsidR="002D0A6B" w:rsidRPr="004A0F67">
        <w:rPr>
          <w:rFonts w:ascii="Times New Roman" w:hAnsi="Times New Roman" w:cs="Times New Roman"/>
          <w:b/>
          <w:iCs/>
          <w:szCs w:val="21"/>
          <w:lang w:eastAsia="en-US"/>
        </w:rPr>
        <w:t>4</w:t>
      </w:r>
      <w:r w:rsidR="001E23FD" w:rsidRPr="004A0F67">
        <w:rPr>
          <w:rFonts w:ascii="Times New Roman" w:hAnsi="Times New Roman" w:cs="Times New Roman"/>
          <w:b/>
          <w:iCs/>
          <w:szCs w:val="21"/>
          <w:lang w:eastAsia="en-US"/>
        </w:rPr>
        <w:t xml:space="preserve">: </w:t>
      </w:r>
      <w:r w:rsidR="00A537C9" w:rsidRPr="004A0F67">
        <w:rPr>
          <w:rFonts w:ascii="Times New Roman" w:hAnsi="Times New Roman" w:cs="Times New Roman"/>
          <w:b/>
          <w:iCs/>
          <w:szCs w:val="21"/>
          <w:lang w:eastAsia="en-US"/>
        </w:rPr>
        <w:t xml:space="preserve">The rules on how to combine the individual per-BWP pre-MG status can be </w:t>
      </w:r>
    </w:p>
    <w:p w14:paraId="28C4A98E" w14:textId="77777777" w:rsidR="00A508E3" w:rsidRPr="004A0F67" w:rsidRDefault="00A508E3" w:rsidP="00481666">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
          <w:iCs/>
          <w:szCs w:val="21"/>
          <w:lang w:eastAsia="zh-CN"/>
        </w:rPr>
      </w:pPr>
      <w:r w:rsidRPr="004A0F67">
        <w:rPr>
          <w:rFonts w:ascii="Times New Roman" w:hAnsi="Times New Roman" w:cs="Times New Roman"/>
          <w:b/>
          <w:iCs/>
          <w:szCs w:val="21"/>
        </w:rPr>
        <w:t xml:space="preserve">When configured with per-UE gap, UE should assume the gap is ON as long as the pre-MG status of active DL BWP in one of the CCs is ON, and assume the gap is OFF only if the pre-MG status of active DL BWP in all CCs </w:t>
      </w:r>
      <w:proofErr w:type="gramStart"/>
      <w:r w:rsidRPr="004A0F67">
        <w:rPr>
          <w:rFonts w:ascii="Times New Roman" w:hAnsi="Times New Roman" w:cs="Times New Roman"/>
          <w:b/>
          <w:iCs/>
          <w:szCs w:val="21"/>
        </w:rPr>
        <w:t>are</w:t>
      </w:r>
      <w:proofErr w:type="gramEnd"/>
      <w:r w:rsidRPr="004A0F67">
        <w:rPr>
          <w:rFonts w:ascii="Times New Roman" w:hAnsi="Times New Roman" w:cs="Times New Roman"/>
          <w:b/>
          <w:iCs/>
          <w:szCs w:val="21"/>
        </w:rPr>
        <w:t xml:space="preserve"> OFF. </w:t>
      </w:r>
    </w:p>
    <w:p w14:paraId="6FD8E9A7" w14:textId="3D82B295" w:rsidR="0042317F" w:rsidRPr="004A0F67" w:rsidRDefault="00A508E3" w:rsidP="00481666">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
          <w:iCs/>
          <w:szCs w:val="21"/>
        </w:rPr>
      </w:pPr>
      <w:r w:rsidRPr="004A0F67">
        <w:rPr>
          <w:rFonts w:ascii="Times New Roman" w:hAnsi="Times New Roman" w:cs="Times New Roman"/>
          <w:b/>
          <w:iCs/>
          <w:szCs w:val="21"/>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tbl>
      <w:tblPr>
        <w:tblStyle w:val="af8"/>
        <w:tblW w:w="0" w:type="auto"/>
        <w:tblLook w:val="04A0" w:firstRow="1" w:lastRow="0" w:firstColumn="1" w:lastColumn="0" w:noHBand="0" w:noVBand="1"/>
      </w:tblPr>
      <w:tblGrid>
        <w:gridCol w:w="9629"/>
      </w:tblGrid>
      <w:tr w:rsidR="0097779A" w:rsidRPr="004A0F67" w14:paraId="297D14FE" w14:textId="77777777" w:rsidTr="0097779A">
        <w:tc>
          <w:tcPr>
            <w:tcW w:w="9629" w:type="dxa"/>
          </w:tcPr>
          <w:p w14:paraId="3E9B1E4E" w14:textId="77777777" w:rsidR="0097779A" w:rsidRPr="004A0F67" w:rsidRDefault="0097779A" w:rsidP="0097779A">
            <w:pPr>
              <w:rPr>
                <w:rFonts w:ascii="Times New Roman" w:hAnsi="Times New Roman" w:cs="Times New Roman"/>
                <w:b/>
                <w:bCs/>
                <w:szCs w:val="21"/>
                <w:u w:val="single"/>
              </w:rPr>
            </w:pPr>
            <w:r w:rsidRPr="004A0F67">
              <w:rPr>
                <w:rFonts w:ascii="Times New Roman" w:hAnsi="Times New Roman" w:cs="Times New Roman"/>
                <w:b/>
                <w:bCs/>
                <w:szCs w:val="21"/>
                <w:u w:val="single"/>
              </w:rPr>
              <w:t>Activation/deactivation delay under CA:</w:t>
            </w:r>
          </w:p>
          <w:p w14:paraId="5FE65B7E" w14:textId="77777777" w:rsidR="0097779A" w:rsidRPr="004A0F67" w:rsidRDefault="0097779A" w:rsidP="0097779A">
            <w:pPr>
              <w:rPr>
                <w:rFonts w:ascii="Times New Roman" w:hAnsi="Times New Roman" w:cs="Times New Roman"/>
                <w:bCs/>
                <w:szCs w:val="21"/>
              </w:rPr>
            </w:pPr>
            <w:r w:rsidRPr="004A0F67">
              <w:rPr>
                <w:rFonts w:ascii="Times New Roman" w:hAnsi="Times New Roman" w:cs="Times New Roman"/>
                <w:bCs/>
                <w:szCs w:val="21"/>
              </w:rPr>
              <w:t>FFS on:</w:t>
            </w:r>
          </w:p>
          <w:p w14:paraId="540A481B" w14:textId="330ED566" w:rsidR="0097779A" w:rsidRPr="004A0F67" w:rsidRDefault="0097779A" w:rsidP="0097779A">
            <w:pPr>
              <w:widowControl/>
              <w:numPr>
                <w:ilvl w:val="0"/>
                <w:numId w:val="36"/>
              </w:numPr>
              <w:overflowPunct w:val="0"/>
              <w:autoSpaceDE w:val="0"/>
              <w:autoSpaceDN w:val="0"/>
              <w:adjustRightInd w:val="0"/>
              <w:spacing w:after="180" w:line="259" w:lineRule="auto"/>
              <w:jc w:val="left"/>
              <w:textAlignment w:val="baseline"/>
              <w:rPr>
                <w:rFonts w:ascii="Times New Roman" w:hAnsi="Times New Roman" w:cs="Times New Roman"/>
                <w:b/>
                <w:bCs/>
                <w:szCs w:val="21"/>
              </w:rPr>
            </w:pPr>
            <w:r w:rsidRPr="004A0F67">
              <w:rPr>
                <w:rFonts w:ascii="Times New Roman" w:hAnsi="Times New Roman" w:cs="Times New Roman"/>
                <w:bCs/>
                <w:szCs w:val="21"/>
              </w:rPr>
              <w:t>The Pre-MG activation/deactivation delay for CA with single CC based BWP switching shall be the same as for non-CA with single CC.</w:t>
            </w:r>
          </w:p>
        </w:tc>
      </w:tr>
    </w:tbl>
    <w:p w14:paraId="5A09C8D5" w14:textId="21C563C0" w:rsidR="0097779A" w:rsidRPr="004A0F67" w:rsidRDefault="0097779A" w:rsidP="0097779A">
      <w:pPr>
        <w:overflowPunct w:val="0"/>
        <w:autoSpaceDE w:val="0"/>
        <w:autoSpaceDN w:val="0"/>
        <w:adjustRightInd w:val="0"/>
        <w:spacing w:beforeLines="50" w:before="120" w:afterLines="50" w:after="120" w:line="360" w:lineRule="auto"/>
        <w:jc w:val="left"/>
        <w:textAlignment w:val="baseline"/>
        <w:rPr>
          <w:rFonts w:ascii="Times New Roman" w:hAnsi="Times New Roman" w:cs="Times New Roman"/>
          <w:iCs/>
          <w:szCs w:val="21"/>
        </w:rPr>
      </w:pPr>
      <w:r w:rsidRPr="004A0F67">
        <w:rPr>
          <w:rFonts w:ascii="Times New Roman" w:hAnsi="Times New Roman" w:cs="Times New Roman"/>
          <w:iCs/>
          <w:szCs w:val="21"/>
        </w:rPr>
        <w:t>We can confirm that the Pre-MG activation/deactivation delay for CA with single CC based BWP switching shall be the same as for non-CA with single CC.</w:t>
      </w:r>
    </w:p>
    <w:p w14:paraId="2C9080F0" w14:textId="44427118" w:rsidR="0097779A" w:rsidRPr="004A0F67" w:rsidRDefault="0097779A" w:rsidP="0097779A">
      <w:pPr>
        <w:overflowPunct w:val="0"/>
        <w:autoSpaceDE w:val="0"/>
        <w:autoSpaceDN w:val="0"/>
        <w:adjustRightInd w:val="0"/>
        <w:spacing w:beforeLines="50" w:before="120" w:afterLines="50" w:after="120" w:line="360" w:lineRule="auto"/>
        <w:jc w:val="left"/>
        <w:textAlignment w:val="baseline"/>
        <w:rPr>
          <w:rFonts w:ascii="Times New Roman" w:hAnsi="Times New Roman" w:cs="Times New Roman"/>
          <w:b/>
          <w:iCs/>
          <w:szCs w:val="21"/>
        </w:rPr>
      </w:pPr>
      <w:r w:rsidRPr="004A0F67">
        <w:rPr>
          <w:rFonts w:ascii="Times New Roman" w:hAnsi="Times New Roman" w:cs="Times New Roman"/>
          <w:b/>
          <w:iCs/>
          <w:szCs w:val="21"/>
        </w:rPr>
        <w:t xml:space="preserve">Proposal 5: </w:t>
      </w:r>
      <w:r w:rsidRPr="004A0F67">
        <w:rPr>
          <w:rFonts w:ascii="Times New Roman" w:hAnsi="Times New Roman" w:cs="Times New Roman"/>
          <w:b/>
          <w:bCs/>
          <w:szCs w:val="21"/>
        </w:rPr>
        <w:t>The Pre-MG activation/deactivation delay for CA with single CC based BWP switching shall be the same as for non-CA with single CC.</w:t>
      </w:r>
    </w:p>
    <w:p w14:paraId="529756DD" w14:textId="1A7195AD" w:rsidR="002C5B8E" w:rsidRPr="004A0F67" w:rsidRDefault="002C5B8E" w:rsidP="00481666">
      <w:pPr>
        <w:spacing w:beforeLines="50" w:before="120" w:afterLines="50" w:after="120" w:line="360" w:lineRule="auto"/>
        <w:rPr>
          <w:rFonts w:ascii="Times New Roman" w:hAnsi="Times New Roman" w:cs="Times New Roman"/>
          <w:szCs w:val="21"/>
        </w:rPr>
      </w:pPr>
      <w:r w:rsidRPr="004A0F67">
        <w:rPr>
          <w:rFonts w:ascii="Times New Roman" w:hAnsi="Times New Roman" w:cs="Times New Roman"/>
          <w:szCs w:val="21"/>
        </w:rPr>
        <w:t>As agreed, pre-configured MG(s) and legacy MG(s) can be configured simultaneously needs to be considered for concurrent gaps operation at 2nd stage. Whether multiple Pre-MGs can be configured</w:t>
      </w:r>
      <w:r w:rsidR="00D65D45" w:rsidRPr="004A0F67">
        <w:rPr>
          <w:rFonts w:ascii="Times New Roman" w:hAnsi="Times New Roman" w:cs="Times New Roman"/>
          <w:szCs w:val="21"/>
        </w:rPr>
        <w:t xml:space="preserve"> also</w:t>
      </w:r>
      <w:r w:rsidRPr="004A0F67">
        <w:rPr>
          <w:rFonts w:ascii="Times New Roman" w:hAnsi="Times New Roman" w:cs="Times New Roman"/>
          <w:szCs w:val="21"/>
        </w:rPr>
        <w:t xml:space="preserve"> needs to be discussed</w:t>
      </w:r>
      <w:r w:rsidR="00D65D45" w:rsidRPr="004A0F67">
        <w:rPr>
          <w:rFonts w:ascii="Times New Roman" w:hAnsi="Times New Roman" w:cs="Times New Roman"/>
          <w:szCs w:val="21"/>
        </w:rPr>
        <w:t xml:space="preserve"> then</w:t>
      </w:r>
      <w:r w:rsidRPr="004A0F67">
        <w:rPr>
          <w:rFonts w:ascii="Times New Roman" w:hAnsi="Times New Roman" w:cs="Times New Roman"/>
          <w:szCs w:val="21"/>
        </w:rPr>
        <w:t>.</w:t>
      </w:r>
    </w:p>
    <w:p w14:paraId="25BFBB00" w14:textId="639D2916" w:rsidR="00BC5442" w:rsidRPr="004A0F67" w:rsidRDefault="002C5B8E" w:rsidP="00481666">
      <w:pPr>
        <w:spacing w:beforeLines="50" w:before="120" w:afterLines="50" w:after="120" w:line="360" w:lineRule="auto"/>
        <w:rPr>
          <w:rFonts w:ascii="Times New Roman" w:hAnsi="Times New Roman" w:cs="Times New Roman"/>
          <w:szCs w:val="21"/>
        </w:rPr>
      </w:pPr>
      <w:r w:rsidRPr="004A0F67">
        <w:rPr>
          <w:rFonts w:ascii="Times New Roman" w:hAnsi="Times New Roman" w:cs="Times New Roman"/>
          <w:szCs w:val="21"/>
        </w:rPr>
        <w:t xml:space="preserve">We suggest to only focus on single pre-MG </w:t>
      </w:r>
      <w:r w:rsidR="00D65D45" w:rsidRPr="004A0F67">
        <w:rPr>
          <w:rFonts w:ascii="Times New Roman" w:hAnsi="Times New Roman" w:cs="Times New Roman"/>
          <w:szCs w:val="21"/>
        </w:rPr>
        <w:t>and BWP switching on</w:t>
      </w:r>
      <w:r w:rsidRPr="004A0F67">
        <w:rPr>
          <w:rFonts w:ascii="Times New Roman" w:hAnsi="Times New Roman" w:cs="Times New Roman"/>
          <w:szCs w:val="21"/>
        </w:rPr>
        <w:t xml:space="preserve"> single CC</w:t>
      </w:r>
      <w:r w:rsidR="00D65D45" w:rsidRPr="004A0F67">
        <w:rPr>
          <w:rFonts w:ascii="Times New Roman" w:hAnsi="Times New Roman" w:cs="Times New Roman"/>
          <w:szCs w:val="21"/>
        </w:rPr>
        <w:t xml:space="preserve"> in Rel17. </w:t>
      </w:r>
      <w:r w:rsidR="00BC5442" w:rsidRPr="004A0F67">
        <w:rPr>
          <w:rFonts w:ascii="Times New Roman" w:hAnsi="Times New Roman" w:cs="Times New Roman"/>
          <w:szCs w:val="21"/>
        </w:rPr>
        <w:t xml:space="preserve">If </w:t>
      </w:r>
      <w:r w:rsidR="00D65D45" w:rsidRPr="004A0F67">
        <w:rPr>
          <w:rFonts w:ascii="Times New Roman" w:hAnsi="Times New Roman" w:cs="Times New Roman"/>
          <w:szCs w:val="21"/>
        </w:rPr>
        <w:t>per FR1 gap and per FR2 gap are configured simultaneously</w:t>
      </w:r>
      <w:r w:rsidR="00BC5442" w:rsidRPr="004A0F67">
        <w:rPr>
          <w:rFonts w:ascii="Times New Roman" w:hAnsi="Times New Roman" w:cs="Times New Roman"/>
          <w:szCs w:val="21"/>
        </w:rPr>
        <w:t>, Pre-MG per FR could also work s</w:t>
      </w:r>
      <w:r w:rsidR="00613B81" w:rsidRPr="004A0F67">
        <w:rPr>
          <w:rFonts w:ascii="Times New Roman" w:hAnsi="Times New Roman" w:cs="Times New Roman"/>
          <w:szCs w:val="21"/>
        </w:rPr>
        <w:t>e</w:t>
      </w:r>
      <w:r w:rsidR="00BC5442" w:rsidRPr="004A0F67">
        <w:rPr>
          <w:rFonts w:ascii="Times New Roman" w:hAnsi="Times New Roman" w:cs="Times New Roman"/>
          <w:szCs w:val="21"/>
        </w:rPr>
        <w:t>p</w:t>
      </w:r>
      <w:r w:rsidR="00613B81" w:rsidRPr="004A0F67">
        <w:rPr>
          <w:rFonts w:ascii="Times New Roman" w:hAnsi="Times New Roman" w:cs="Times New Roman"/>
          <w:szCs w:val="21"/>
        </w:rPr>
        <w:t>a</w:t>
      </w:r>
      <w:r w:rsidR="00BC5442" w:rsidRPr="004A0F67">
        <w:rPr>
          <w:rFonts w:ascii="Times New Roman" w:hAnsi="Times New Roman" w:cs="Times New Roman"/>
          <w:szCs w:val="21"/>
        </w:rPr>
        <w:t>rat</w:t>
      </w:r>
      <w:r w:rsidR="00613B81" w:rsidRPr="004A0F67">
        <w:rPr>
          <w:rFonts w:ascii="Times New Roman" w:hAnsi="Times New Roman" w:cs="Times New Roman"/>
          <w:szCs w:val="21"/>
        </w:rPr>
        <w:t>e</w:t>
      </w:r>
      <w:r w:rsidR="00BC5442" w:rsidRPr="004A0F67">
        <w:rPr>
          <w:rFonts w:ascii="Times New Roman" w:hAnsi="Times New Roman" w:cs="Times New Roman"/>
          <w:szCs w:val="21"/>
        </w:rPr>
        <w:t>ly.</w:t>
      </w:r>
    </w:p>
    <w:p w14:paraId="76ECBED2" w14:textId="656797FE" w:rsidR="004F0CF5" w:rsidRPr="004A0F67" w:rsidRDefault="00BC5442" w:rsidP="0097779A">
      <w:pPr>
        <w:pStyle w:val="proposal"/>
        <w:rPr>
          <w:sz w:val="21"/>
          <w:szCs w:val="21"/>
        </w:rPr>
      </w:pPr>
      <w:r w:rsidRPr="004A0F67">
        <w:rPr>
          <w:sz w:val="21"/>
          <w:szCs w:val="21"/>
        </w:rPr>
        <w:t xml:space="preserve">Proposal </w:t>
      </w:r>
      <w:r w:rsidR="0097779A" w:rsidRPr="004A0F67">
        <w:rPr>
          <w:sz w:val="21"/>
          <w:szCs w:val="21"/>
        </w:rPr>
        <w:t>6</w:t>
      </w:r>
      <w:r w:rsidRPr="004A0F67">
        <w:rPr>
          <w:sz w:val="21"/>
          <w:szCs w:val="21"/>
        </w:rPr>
        <w:t xml:space="preserve">: RAN4 only consider single pre-MG and BWP switching on single CC in Rel17, leaving joint operation with concurrent gaps to R18. </w:t>
      </w:r>
    </w:p>
    <w:p w14:paraId="7C6FC139" w14:textId="77777777" w:rsidR="00CE0D5E" w:rsidRPr="0097779A" w:rsidRDefault="00141644" w:rsidP="00481666">
      <w:pPr>
        <w:pStyle w:val="1"/>
        <w:numPr>
          <w:ilvl w:val="0"/>
          <w:numId w:val="1"/>
        </w:numPr>
        <w:spacing w:beforeLines="50" w:before="120" w:afterLines="50" w:after="120" w:line="360" w:lineRule="auto"/>
        <w:rPr>
          <w:rFonts w:ascii="Times New Roman" w:hAnsi="Times New Roman"/>
          <w:lang w:eastAsia="zh-CN"/>
        </w:rPr>
      </w:pPr>
      <w:r w:rsidRPr="0097779A">
        <w:rPr>
          <w:rFonts w:ascii="Times New Roman" w:hAnsi="Times New Roman"/>
        </w:rPr>
        <w:t>Summary</w:t>
      </w:r>
    </w:p>
    <w:p w14:paraId="1D280053" w14:textId="2A9FDCF2" w:rsidR="00466070" w:rsidRPr="0097779A" w:rsidRDefault="00D24E48" w:rsidP="00481666">
      <w:pPr>
        <w:spacing w:beforeLines="50" w:before="120" w:afterLines="50" w:after="120" w:line="360" w:lineRule="auto"/>
        <w:rPr>
          <w:rFonts w:ascii="Times New Roman" w:eastAsia="Batang" w:hAnsi="Times New Roman" w:cs="Times New Roman"/>
          <w:lang w:eastAsia="ko-KR"/>
        </w:rPr>
      </w:pPr>
      <w:r w:rsidRPr="0097779A">
        <w:rPr>
          <w:rFonts w:ascii="Times New Roman" w:eastAsia="Batang" w:hAnsi="Times New Roman" w:cs="Times New Roman"/>
          <w:lang w:eastAsia="ko-KR"/>
        </w:rPr>
        <w:t>In this contribution, we provided</w:t>
      </w:r>
      <w:r w:rsidR="00554C63" w:rsidRPr="0097779A">
        <w:rPr>
          <w:rFonts w:ascii="Times New Roman" w:eastAsia="Batang" w:hAnsi="Times New Roman" w:cs="Times New Roman"/>
          <w:lang w:eastAsia="ko-KR"/>
        </w:rPr>
        <w:t xml:space="preserve"> our view</w:t>
      </w:r>
      <w:r w:rsidR="0097779A">
        <w:rPr>
          <w:rFonts w:ascii="Times New Roman" w:eastAsia="Batang" w:hAnsi="Times New Roman" w:cs="Times New Roman"/>
          <w:lang w:eastAsia="ko-KR"/>
        </w:rPr>
        <w:t>s</w:t>
      </w:r>
      <w:r w:rsidR="00554C63" w:rsidRPr="0097779A">
        <w:rPr>
          <w:rFonts w:ascii="Times New Roman" w:eastAsia="Batang" w:hAnsi="Times New Roman" w:cs="Times New Roman"/>
          <w:lang w:eastAsia="ko-KR"/>
        </w:rPr>
        <w:t xml:space="preserve"> on Pre-MG</w:t>
      </w:r>
      <w:r w:rsidRPr="0097779A">
        <w:rPr>
          <w:rFonts w:ascii="Times New Roman" w:eastAsia="Batang" w:hAnsi="Times New Roman" w:cs="Times New Roman"/>
          <w:lang w:eastAsia="ko-KR"/>
        </w:rPr>
        <w:t xml:space="preserve">. </w:t>
      </w:r>
    </w:p>
    <w:p w14:paraId="13F74D98" w14:textId="77777777" w:rsidR="0097779A" w:rsidRPr="004A0F67" w:rsidRDefault="0097779A" w:rsidP="0097779A">
      <w:pPr>
        <w:autoSpaceDE w:val="0"/>
        <w:autoSpaceDN w:val="0"/>
        <w:adjustRightInd w:val="0"/>
        <w:spacing w:beforeLines="50" w:before="120" w:afterLines="50" w:after="120" w:line="360" w:lineRule="auto"/>
        <w:rPr>
          <w:rFonts w:ascii="Times New Roman" w:hAnsi="Times New Roman" w:cs="Times New Roman"/>
          <w:b/>
          <w:bCs/>
          <w:szCs w:val="21"/>
        </w:rPr>
      </w:pPr>
      <w:r w:rsidRPr="004A0F67">
        <w:rPr>
          <w:rFonts w:ascii="Times New Roman" w:hAnsi="Times New Roman" w:cs="Times New Roman"/>
          <w:b/>
          <w:bCs/>
          <w:szCs w:val="21"/>
        </w:rPr>
        <w:t>Proposal 1: This indication shall be informed to NW when UE is going to perform PRS with the configured Pre-MG only if UE has not informed NW before pre-MG configuration.</w:t>
      </w:r>
    </w:p>
    <w:p w14:paraId="2086D346" w14:textId="77777777" w:rsidR="004A5B99" w:rsidRPr="004A0F67" w:rsidRDefault="004A5B99" w:rsidP="004A5B99">
      <w:pPr>
        <w:pStyle w:val="proposal"/>
        <w:rPr>
          <w:sz w:val="21"/>
          <w:szCs w:val="21"/>
        </w:rPr>
      </w:pPr>
      <w:r w:rsidRPr="004A0F67">
        <w:rPr>
          <w:sz w:val="21"/>
          <w:szCs w:val="21"/>
        </w:rPr>
        <w:t>Proposal 2: Pre-configured MG triggered by other than BWP switch</w:t>
      </w:r>
      <w:r>
        <w:rPr>
          <w:sz w:val="21"/>
          <w:szCs w:val="21"/>
        </w:rPr>
        <w:t xml:space="preserve"> and </w:t>
      </w:r>
      <w:r w:rsidRPr="004A0F67">
        <w:rPr>
          <w:szCs w:val="21"/>
          <w:lang w:eastAsia="ja-JP"/>
        </w:rPr>
        <w:t xml:space="preserve">activation/de-activation of </w:t>
      </w:r>
      <w:proofErr w:type="spellStart"/>
      <w:r w:rsidRPr="004A0F67">
        <w:rPr>
          <w:szCs w:val="21"/>
          <w:lang w:eastAsia="ja-JP"/>
        </w:rPr>
        <w:t>SCell</w:t>
      </w:r>
      <w:proofErr w:type="spellEnd"/>
      <w:r w:rsidRPr="004A0F67">
        <w:rPr>
          <w:szCs w:val="21"/>
          <w:lang w:eastAsia="ja-JP"/>
        </w:rPr>
        <w:t>(s)</w:t>
      </w:r>
      <w:r w:rsidRPr="004A0F67">
        <w:rPr>
          <w:sz w:val="21"/>
          <w:szCs w:val="21"/>
        </w:rPr>
        <w:t xml:space="preserve"> can be postponed to the later release.</w:t>
      </w:r>
    </w:p>
    <w:p w14:paraId="36219043" w14:textId="77777777" w:rsidR="0097779A" w:rsidRPr="004A0F67" w:rsidRDefault="0097779A" w:rsidP="0097779A">
      <w:pPr>
        <w:pStyle w:val="proposal"/>
        <w:rPr>
          <w:sz w:val="21"/>
          <w:szCs w:val="21"/>
        </w:rPr>
      </w:pPr>
      <w:bookmarkStart w:id="3" w:name="_GoBack"/>
      <w:bookmarkEnd w:id="3"/>
      <w:r w:rsidRPr="004A0F67">
        <w:rPr>
          <w:sz w:val="21"/>
          <w:szCs w:val="21"/>
        </w:rPr>
        <w:t xml:space="preserve">Proposal 3: Pre-MG can be (de)activated by BWP switching and </w:t>
      </w:r>
      <w:proofErr w:type="spellStart"/>
      <w:r w:rsidRPr="004A0F67">
        <w:rPr>
          <w:sz w:val="21"/>
          <w:szCs w:val="21"/>
        </w:rPr>
        <w:t>SCell</w:t>
      </w:r>
      <w:proofErr w:type="spellEnd"/>
      <w:r w:rsidRPr="004A0F67">
        <w:rPr>
          <w:sz w:val="21"/>
          <w:szCs w:val="21"/>
        </w:rPr>
        <w:t xml:space="preserve"> activation independently.</w:t>
      </w:r>
    </w:p>
    <w:p w14:paraId="656EB30C" w14:textId="77777777" w:rsidR="0097779A" w:rsidRPr="004A0F67" w:rsidRDefault="0097779A" w:rsidP="0097779A">
      <w:pPr>
        <w:autoSpaceDE w:val="0"/>
        <w:autoSpaceDN w:val="0"/>
        <w:adjustRightInd w:val="0"/>
        <w:spacing w:beforeLines="50" w:before="120" w:afterLines="50" w:after="120" w:line="360" w:lineRule="auto"/>
        <w:rPr>
          <w:rFonts w:ascii="Times New Roman" w:hAnsi="Times New Roman" w:cs="Times New Roman"/>
          <w:b/>
          <w:iCs/>
          <w:szCs w:val="21"/>
          <w:lang w:eastAsia="en-US"/>
        </w:rPr>
      </w:pPr>
      <w:r w:rsidRPr="004A0F67">
        <w:rPr>
          <w:rFonts w:ascii="Times New Roman" w:hAnsi="Times New Roman" w:cs="Times New Roman"/>
          <w:b/>
          <w:iCs/>
          <w:szCs w:val="21"/>
          <w:lang w:eastAsia="en-US"/>
        </w:rPr>
        <w:t xml:space="preserve">Proposal 4: The rules on how to combine the individual per-BWP pre-MG status can be </w:t>
      </w:r>
    </w:p>
    <w:p w14:paraId="62D7B477" w14:textId="4EF66CFC" w:rsidR="0097779A" w:rsidRPr="004A0F67" w:rsidRDefault="0097779A" w:rsidP="0097779A">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
          <w:iCs/>
          <w:szCs w:val="21"/>
          <w:lang w:eastAsia="zh-CN"/>
        </w:rPr>
      </w:pPr>
      <w:r w:rsidRPr="004A0F67">
        <w:rPr>
          <w:rFonts w:ascii="Times New Roman" w:hAnsi="Times New Roman" w:cs="Times New Roman"/>
          <w:b/>
          <w:iCs/>
          <w:szCs w:val="21"/>
        </w:rPr>
        <w:t xml:space="preserve">When configured with per-UE gap, UE should assume the gap is ON as long as the pre-MG status of active DL BWP in one of the CCs is ON, and assume the gap is OFF only if the pre-MG status </w:t>
      </w:r>
      <w:r w:rsidRPr="004A0F67">
        <w:rPr>
          <w:rFonts w:ascii="Times New Roman" w:hAnsi="Times New Roman" w:cs="Times New Roman"/>
          <w:b/>
          <w:iCs/>
          <w:szCs w:val="21"/>
        </w:rPr>
        <w:lastRenderedPageBreak/>
        <w:t xml:space="preserve">of active DL BWP in all CCs are OFF. </w:t>
      </w:r>
    </w:p>
    <w:p w14:paraId="083322A9" w14:textId="77777777" w:rsidR="0097779A" w:rsidRPr="004A0F67" w:rsidRDefault="0097779A" w:rsidP="0097779A">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
          <w:iCs/>
          <w:szCs w:val="21"/>
        </w:rPr>
      </w:pPr>
      <w:r w:rsidRPr="004A0F67">
        <w:rPr>
          <w:rFonts w:ascii="Times New Roman" w:hAnsi="Times New Roman" w:cs="Times New Roman"/>
          <w:b/>
          <w:iCs/>
          <w:szCs w:val="21"/>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3984A522" w14:textId="77777777" w:rsidR="0097779A" w:rsidRPr="004A0F67" w:rsidRDefault="0097779A" w:rsidP="0097779A">
      <w:pPr>
        <w:overflowPunct w:val="0"/>
        <w:autoSpaceDE w:val="0"/>
        <w:autoSpaceDN w:val="0"/>
        <w:adjustRightInd w:val="0"/>
        <w:spacing w:beforeLines="50" w:before="120" w:afterLines="50" w:after="120" w:line="360" w:lineRule="auto"/>
        <w:jc w:val="left"/>
        <w:textAlignment w:val="baseline"/>
        <w:rPr>
          <w:rFonts w:ascii="Times New Roman" w:hAnsi="Times New Roman" w:cs="Times New Roman"/>
          <w:b/>
          <w:iCs/>
          <w:szCs w:val="21"/>
        </w:rPr>
      </w:pPr>
      <w:r w:rsidRPr="004A0F67">
        <w:rPr>
          <w:rFonts w:ascii="Times New Roman" w:hAnsi="Times New Roman" w:cs="Times New Roman"/>
          <w:b/>
          <w:iCs/>
          <w:szCs w:val="21"/>
        </w:rPr>
        <w:t xml:space="preserve">Proposal 5: </w:t>
      </w:r>
      <w:r w:rsidRPr="004A0F67">
        <w:rPr>
          <w:rFonts w:ascii="Times New Roman" w:hAnsi="Times New Roman" w:cs="Times New Roman"/>
          <w:b/>
          <w:bCs/>
          <w:szCs w:val="21"/>
        </w:rPr>
        <w:t>The Pre-MG activation/deactivation delay for CA with single CC based BWP switching shall be the same as for non-CA with single CC.</w:t>
      </w:r>
    </w:p>
    <w:p w14:paraId="547C0905" w14:textId="51EBFD77" w:rsidR="00FB3957" w:rsidRPr="0097779A" w:rsidRDefault="0097779A" w:rsidP="0097779A">
      <w:pPr>
        <w:pStyle w:val="proposal"/>
      </w:pPr>
      <w:r w:rsidRPr="004A0F67">
        <w:rPr>
          <w:sz w:val="21"/>
          <w:szCs w:val="21"/>
        </w:rPr>
        <w:t xml:space="preserve">Proposal 6: RAN4 only consider single pre-MG and BWP switching on single CC in Rel17, leaving joint operation with concurrent gaps to R18. </w:t>
      </w:r>
    </w:p>
    <w:p w14:paraId="459F3881" w14:textId="77777777" w:rsidR="00751B57" w:rsidRPr="0097779A" w:rsidRDefault="00751B57" w:rsidP="00481666">
      <w:pPr>
        <w:pStyle w:val="1"/>
        <w:pBdr>
          <w:top w:val="single" w:sz="12" w:space="2" w:color="auto"/>
        </w:pBdr>
        <w:spacing w:beforeLines="50" w:before="120" w:afterLines="50" w:after="120" w:line="360" w:lineRule="auto"/>
        <w:jc w:val="both"/>
        <w:rPr>
          <w:rFonts w:ascii="Times New Roman" w:hAnsi="Times New Roman"/>
          <w:sz w:val="32"/>
        </w:rPr>
      </w:pPr>
      <w:r w:rsidRPr="0097779A">
        <w:rPr>
          <w:rFonts w:ascii="Times New Roman" w:hAnsi="Times New Roman"/>
          <w:sz w:val="32"/>
        </w:rPr>
        <w:t>References</w:t>
      </w:r>
    </w:p>
    <w:p w14:paraId="122B98C4" w14:textId="79F100C0" w:rsidR="001C5C95" w:rsidRPr="0097779A" w:rsidRDefault="001C5C95"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lang w:eastAsia="ko-KR"/>
        </w:rPr>
      </w:pPr>
      <w:r w:rsidRPr="0097779A">
        <w:rPr>
          <w:rFonts w:ascii="Times New Roman" w:hAnsi="Times New Roman" w:cs="Times New Roman"/>
          <w:lang w:eastAsia="ko-KR"/>
        </w:rPr>
        <w:t>[</w:t>
      </w:r>
      <w:r w:rsidR="00B320EC" w:rsidRPr="0097779A">
        <w:rPr>
          <w:rFonts w:ascii="Times New Roman" w:hAnsi="Times New Roman" w:cs="Times New Roman"/>
          <w:lang w:eastAsia="ko-KR"/>
        </w:rPr>
        <w:t>1</w:t>
      </w:r>
      <w:r w:rsidRPr="0097779A">
        <w:rPr>
          <w:rFonts w:ascii="Times New Roman" w:hAnsi="Times New Roman" w:cs="Times New Roman"/>
          <w:lang w:eastAsia="ko-KR"/>
        </w:rPr>
        <w:t>] R4-</w:t>
      </w:r>
      <w:bookmarkStart w:id="4" w:name="OLE_LINK12"/>
      <w:bookmarkStart w:id="5" w:name="OLE_LINK13"/>
      <w:r w:rsidRPr="0097779A">
        <w:rPr>
          <w:rFonts w:ascii="Times New Roman" w:hAnsi="Times New Roman" w:cs="Times New Roman"/>
          <w:lang w:eastAsia="ko-KR"/>
        </w:rPr>
        <w:t>2</w:t>
      </w:r>
      <w:bookmarkEnd w:id="4"/>
      <w:bookmarkEnd w:id="5"/>
      <w:r w:rsidR="00F80848" w:rsidRPr="0097779A">
        <w:rPr>
          <w:rFonts w:ascii="Times New Roman" w:hAnsi="Times New Roman" w:cs="Times New Roman"/>
          <w:lang w:eastAsia="ko-KR"/>
        </w:rPr>
        <w:t>202614</w:t>
      </w:r>
      <w:r w:rsidRPr="0097779A">
        <w:rPr>
          <w:rFonts w:ascii="Times New Roman" w:hAnsi="Times New Roman" w:cs="Times New Roman"/>
          <w:lang w:eastAsia="ko-KR"/>
        </w:rPr>
        <w:t xml:space="preserve">, </w:t>
      </w:r>
      <w:r w:rsidR="00FB36A0" w:rsidRPr="0097779A">
        <w:rPr>
          <w:rFonts w:ascii="Times New Roman" w:hAnsi="Times New Roman" w:cs="Times New Roman"/>
        </w:rPr>
        <w:t>WF on R17 NR MG enhancements – Pre-configured MG</w:t>
      </w:r>
      <w:r w:rsidRPr="0097779A">
        <w:rPr>
          <w:rFonts w:ascii="Times New Roman" w:hAnsi="Times New Roman" w:cs="Times New Roman"/>
          <w:lang w:eastAsia="ko-KR"/>
        </w:rPr>
        <w:t>, Intel Corporation</w:t>
      </w:r>
    </w:p>
    <w:p w14:paraId="689C5793" w14:textId="14E81E07" w:rsidR="00F80848" w:rsidRPr="0097779A" w:rsidRDefault="00B432B2"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97779A">
        <w:rPr>
          <w:rFonts w:ascii="Times New Roman" w:hAnsi="Times New Roman" w:cs="Times New Roman"/>
        </w:rPr>
        <w:t xml:space="preserve">[2] </w:t>
      </w:r>
      <w:r w:rsidR="00F80848" w:rsidRPr="0097779A">
        <w:rPr>
          <w:rFonts w:ascii="Times New Roman" w:hAnsi="Times New Roman" w:cs="Times New Roman"/>
        </w:rPr>
        <w:t>R4-2202615,</w:t>
      </w:r>
      <w:r w:rsidR="00F80848" w:rsidRPr="0097779A">
        <w:rPr>
          <w:rFonts w:ascii="Times New Roman" w:hAnsi="Times New Roman" w:cs="Times New Roman"/>
        </w:rPr>
        <w:tab/>
        <w:t xml:space="preserve"> LS on R17 NR MG enhancements – Pre-configured MG, Intel</w:t>
      </w:r>
    </w:p>
    <w:p w14:paraId="0D6EB1F2" w14:textId="076C80F8" w:rsidR="001C5C95" w:rsidRPr="0097779A" w:rsidRDefault="00B320EC" w:rsidP="00481666">
      <w:pPr>
        <w:overflowPunct w:val="0"/>
        <w:autoSpaceDE w:val="0"/>
        <w:autoSpaceDN w:val="0"/>
        <w:adjustRightInd w:val="0"/>
        <w:spacing w:beforeLines="50" w:before="120" w:afterLines="50" w:after="120" w:line="360" w:lineRule="auto"/>
        <w:textAlignment w:val="baseline"/>
        <w:rPr>
          <w:rFonts w:ascii="Times New Roman" w:eastAsia="Malgun Gothic" w:hAnsi="Times New Roman" w:cs="Times New Roman"/>
          <w:lang w:eastAsia="ko-KR"/>
        </w:rPr>
      </w:pPr>
      <w:r w:rsidRPr="0097779A">
        <w:rPr>
          <w:rFonts w:ascii="Times New Roman" w:eastAsia="Malgun Gothic" w:hAnsi="Times New Roman" w:cs="Times New Roman"/>
          <w:lang w:eastAsia="ko-KR"/>
        </w:rPr>
        <w:t>[</w:t>
      </w:r>
      <w:r w:rsidR="00B432B2" w:rsidRPr="0097779A">
        <w:rPr>
          <w:rFonts w:ascii="Times New Roman" w:eastAsia="Malgun Gothic" w:hAnsi="Times New Roman" w:cs="Times New Roman"/>
          <w:lang w:eastAsia="ko-KR"/>
        </w:rPr>
        <w:t>3</w:t>
      </w:r>
      <w:r w:rsidRPr="0097779A">
        <w:rPr>
          <w:rFonts w:ascii="Times New Roman" w:eastAsia="Malgun Gothic" w:hAnsi="Times New Roman" w:cs="Times New Roman"/>
          <w:lang w:eastAsia="ko-KR"/>
        </w:rPr>
        <w:t>]</w:t>
      </w:r>
      <w:r w:rsidRPr="0097779A">
        <w:rPr>
          <w:rFonts w:ascii="Times New Roman" w:eastAsia="Malgun Gothic" w:hAnsi="Times New Roman" w:cs="Times New Roman"/>
          <w:lang w:eastAsia="ko-KR"/>
        </w:rPr>
        <w:tab/>
        <w:t>R4-21</w:t>
      </w:r>
      <w:r w:rsidR="00180A74" w:rsidRPr="0097779A">
        <w:rPr>
          <w:rFonts w:ascii="Times New Roman" w:eastAsia="Malgun Gothic" w:hAnsi="Times New Roman" w:cs="Times New Roman"/>
          <w:lang w:eastAsia="ko-KR"/>
        </w:rPr>
        <w:t>1</w:t>
      </w:r>
      <w:r w:rsidR="00B432B2" w:rsidRPr="0097779A">
        <w:rPr>
          <w:rFonts w:ascii="Times New Roman" w:eastAsia="Malgun Gothic" w:hAnsi="Times New Roman" w:cs="Times New Roman"/>
          <w:lang w:eastAsia="ko-KR"/>
        </w:rPr>
        <w:t>8364</w:t>
      </w:r>
      <w:r w:rsidRPr="0097779A">
        <w:rPr>
          <w:rFonts w:ascii="Times New Roman" w:eastAsia="Malgun Gothic" w:hAnsi="Times New Roman" w:cs="Times New Roman"/>
          <w:lang w:eastAsia="ko-KR"/>
        </w:rPr>
        <w:t xml:space="preserve">, On pre-configured MG pattern(s) for </w:t>
      </w:r>
      <w:proofErr w:type="spellStart"/>
      <w:r w:rsidRPr="0097779A">
        <w:rPr>
          <w:rFonts w:ascii="Times New Roman" w:eastAsia="Malgun Gothic" w:hAnsi="Times New Roman" w:cs="Times New Roman"/>
          <w:lang w:eastAsia="ko-KR"/>
        </w:rPr>
        <w:t>NR_MG_enh</w:t>
      </w:r>
      <w:proofErr w:type="spellEnd"/>
      <w:r w:rsidRPr="0097779A">
        <w:rPr>
          <w:rFonts w:ascii="Times New Roman" w:eastAsia="Malgun Gothic" w:hAnsi="Times New Roman" w:cs="Times New Roman"/>
          <w:lang w:eastAsia="ko-KR"/>
        </w:rPr>
        <w:t>, OPPO</w:t>
      </w:r>
    </w:p>
    <w:sectPr w:rsidR="001C5C95" w:rsidRPr="0097779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60557" w14:textId="77777777" w:rsidR="000B18A2" w:rsidRDefault="000B18A2">
      <w:r>
        <w:separator/>
      </w:r>
    </w:p>
  </w:endnote>
  <w:endnote w:type="continuationSeparator" w:id="0">
    <w:p w14:paraId="6F05A12F" w14:textId="77777777" w:rsidR="000B18A2" w:rsidRDefault="000B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81825" w14:textId="77777777" w:rsidR="000B18A2" w:rsidRDefault="000B18A2">
      <w:r>
        <w:separator/>
      </w:r>
    </w:p>
  </w:footnote>
  <w:footnote w:type="continuationSeparator" w:id="0">
    <w:p w14:paraId="5E8B547A" w14:textId="77777777" w:rsidR="000B18A2" w:rsidRDefault="000B1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6571F"/>
    <w:multiLevelType w:val="hybridMultilevel"/>
    <w:tmpl w:val="217C0D7E"/>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C76FF"/>
    <w:multiLevelType w:val="hybridMultilevel"/>
    <w:tmpl w:val="B754B4E8"/>
    <w:lvl w:ilvl="0" w:tplc="ACFCBA64">
      <w:start w:val="1"/>
      <w:numFmt w:val="bullet"/>
      <w:lvlText w:val="•"/>
      <w:lvlJc w:val="left"/>
      <w:pPr>
        <w:tabs>
          <w:tab w:val="num" w:pos="720"/>
        </w:tabs>
        <w:ind w:left="720" w:hanging="360"/>
      </w:pPr>
      <w:rPr>
        <w:rFonts w:ascii="Arial" w:hAnsi="Arial" w:hint="default"/>
      </w:rPr>
    </w:lvl>
    <w:lvl w:ilvl="1" w:tplc="33DCF42E">
      <w:numFmt w:val="bullet"/>
      <w:lvlText w:val="–"/>
      <w:lvlJc w:val="left"/>
      <w:pPr>
        <w:tabs>
          <w:tab w:val="num" w:pos="1440"/>
        </w:tabs>
        <w:ind w:left="1440" w:hanging="360"/>
      </w:pPr>
      <w:rPr>
        <w:rFonts w:ascii="Arial" w:hAnsi="Arial" w:hint="default"/>
      </w:rPr>
    </w:lvl>
    <w:lvl w:ilvl="2" w:tplc="40E89984" w:tentative="1">
      <w:start w:val="1"/>
      <w:numFmt w:val="bullet"/>
      <w:lvlText w:val="•"/>
      <w:lvlJc w:val="left"/>
      <w:pPr>
        <w:tabs>
          <w:tab w:val="num" w:pos="2160"/>
        </w:tabs>
        <w:ind w:left="2160" w:hanging="360"/>
      </w:pPr>
      <w:rPr>
        <w:rFonts w:ascii="Arial" w:hAnsi="Arial" w:hint="default"/>
      </w:rPr>
    </w:lvl>
    <w:lvl w:ilvl="3" w:tplc="F8A4721A" w:tentative="1">
      <w:start w:val="1"/>
      <w:numFmt w:val="bullet"/>
      <w:lvlText w:val="•"/>
      <w:lvlJc w:val="left"/>
      <w:pPr>
        <w:tabs>
          <w:tab w:val="num" w:pos="2880"/>
        </w:tabs>
        <w:ind w:left="2880" w:hanging="360"/>
      </w:pPr>
      <w:rPr>
        <w:rFonts w:ascii="Arial" w:hAnsi="Arial" w:hint="default"/>
      </w:rPr>
    </w:lvl>
    <w:lvl w:ilvl="4" w:tplc="C86EAF26" w:tentative="1">
      <w:start w:val="1"/>
      <w:numFmt w:val="bullet"/>
      <w:lvlText w:val="•"/>
      <w:lvlJc w:val="left"/>
      <w:pPr>
        <w:tabs>
          <w:tab w:val="num" w:pos="3600"/>
        </w:tabs>
        <w:ind w:left="3600" w:hanging="360"/>
      </w:pPr>
      <w:rPr>
        <w:rFonts w:ascii="Arial" w:hAnsi="Arial" w:hint="default"/>
      </w:rPr>
    </w:lvl>
    <w:lvl w:ilvl="5" w:tplc="B0D20E64" w:tentative="1">
      <w:start w:val="1"/>
      <w:numFmt w:val="bullet"/>
      <w:lvlText w:val="•"/>
      <w:lvlJc w:val="left"/>
      <w:pPr>
        <w:tabs>
          <w:tab w:val="num" w:pos="4320"/>
        </w:tabs>
        <w:ind w:left="4320" w:hanging="360"/>
      </w:pPr>
      <w:rPr>
        <w:rFonts w:ascii="Arial" w:hAnsi="Arial" w:hint="default"/>
      </w:rPr>
    </w:lvl>
    <w:lvl w:ilvl="6" w:tplc="951E0764" w:tentative="1">
      <w:start w:val="1"/>
      <w:numFmt w:val="bullet"/>
      <w:lvlText w:val="•"/>
      <w:lvlJc w:val="left"/>
      <w:pPr>
        <w:tabs>
          <w:tab w:val="num" w:pos="5040"/>
        </w:tabs>
        <w:ind w:left="5040" w:hanging="360"/>
      </w:pPr>
      <w:rPr>
        <w:rFonts w:ascii="Arial" w:hAnsi="Arial" w:hint="default"/>
      </w:rPr>
    </w:lvl>
    <w:lvl w:ilvl="7" w:tplc="01127D2A" w:tentative="1">
      <w:start w:val="1"/>
      <w:numFmt w:val="bullet"/>
      <w:lvlText w:val="•"/>
      <w:lvlJc w:val="left"/>
      <w:pPr>
        <w:tabs>
          <w:tab w:val="num" w:pos="5760"/>
        </w:tabs>
        <w:ind w:left="5760" w:hanging="360"/>
      </w:pPr>
      <w:rPr>
        <w:rFonts w:ascii="Arial" w:hAnsi="Arial" w:hint="default"/>
      </w:rPr>
    </w:lvl>
    <w:lvl w:ilvl="8" w:tplc="46220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76D2F"/>
    <w:multiLevelType w:val="hybridMultilevel"/>
    <w:tmpl w:val="04C66B80"/>
    <w:lvl w:ilvl="0" w:tplc="843424E6">
      <w:start w:val="1"/>
      <w:numFmt w:val="bullet"/>
      <w:lvlText w:val="•"/>
      <w:lvlJc w:val="left"/>
      <w:pPr>
        <w:tabs>
          <w:tab w:val="num" w:pos="360"/>
        </w:tabs>
        <w:ind w:left="360" w:hanging="360"/>
      </w:pPr>
      <w:rPr>
        <w:rFonts w:ascii="Arial" w:hAnsi="Arial" w:hint="default"/>
      </w:rPr>
    </w:lvl>
    <w:lvl w:ilvl="1" w:tplc="E79AC180">
      <w:numFmt w:val="bullet"/>
      <w:lvlText w:val="–"/>
      <w:lvlJc w:val="left"/>
      <w:pPr>
        <w:tabs>
          <w:tab w:val="num" w:pos="1080"/>
        </w:tabs>
        <w:ind w:left="1080" w:hanging="360"/>
      </w:pPr>
      <w:rPr>
        <w:rFonts w:ascii="Arial" w:hAnsi="Arial" w:hint="default"/>
      </w:rPr>
    </w:lvl>
    <w:lvl w:ilvl="2" w:tplc="E4DEA030">
      <w:numFmt w:val="bullet"/>
      <w:lvlText w:val="•"/>
      <w:lvlJc w:val="left"/>
      <w:pPr>
        <w:tabs>
          <w:tab w:val="num" w:pos="1800"/>
        </w:tabs>
        <w:ind w:left="1800" w:hanging="360"/>
      </w:pPr>
      <w:rPr>
        <w:rFonts w:ascii="Arial" w:hAnsi="Arial" w:hint="default"/>
      </w:rPr>
    </w:lvl>
    <w:lvl w:ilvl="3" w:tplc="C3B481FC" w:tentative="1">
      <w:start w:val="1"/>
      <w:numFmt w:val="bullet"/>
      <w:lvlText w:val="•"/>
      <w:lvlJc w:val="left"/>
      <w:pPr>
        <w:tabs>
          <w:tab w:val="num" w:pos="2520"/>
        </w:tabs>
        <w:ind w:left="2520" w:hanging="360"/>
      </w:pPr>
      <w:rPr>
        <w:rFonts w:ascii="Arial" w:hAnsi="Arial" w:hint="default"/>
      </w:rPr>
    </w:lvl>
    <w:lvl w:ilvl="4" w:tplc="1F22CEC4" w:tentative="1">
      <w:start w:val="1"/>
      <w:numFmt w:val="bullet"/>
      <w:lvlText w:val="•"/>
      <w:lvlJc w:val="left"/>
      <w:pPr>
        <w:tabs>
          <w:tab w:val="num" w:pos="3240"/>
        </w:tabs>
        <w:ind w:left="3240" w:hanging="360"/>
      </w:pPr>
      <w:rPr>
        <w:rFonts w:ascii="Arial" w:hAnsi="Arial" w:hint="default"/>
      </w:rPr>
    </w:lvl>
    <w:lvl w:ilvl="5" w:tplc="C748AF90" w:tentative="1">
      <w:start w:val="1"/>
      <w:numFmt w:val="bullet"/>
      <w:lvlText w:val="•"/>
      <w:lvlJc w:val="left"/>
      <w:pPr>
        <w:tabs>
          <w:tab w:val="num" w:pos="3960"/>
        </w:tabs>
        <w:ind w:left="3960" w:hanging="360"/>
      </w:pPr>
      <w:rPr>
        <w:rFonts w:ascii="Arial" w:hAnsi="Arial" w:hint="default"/>
      </w:rPr>
    </w:lvl>
    <w:lvl w:ilvl="6" w:tplc="94261B58" w:tentative="1">
      <w:start w:val="1"/>
      <w:numFmt w:val="bullet"/>
      <w:lvlText w:val="•"/>
      <w:lvlJc w:val="left"/>
      <w:pPr>
        <w:tabs>
          <w:tab w:val="num" w:pos="4680"/>
        </w:tabs>
        <w:ind w:left="4680" w:hanging="360"/>
      </w:pPr>
      <w:rPr>
        <w:rFonts w:ascii="Arial" w:hAnsi="Arial" w:hint="default"/>
      </w:rPr>
    </w:lvl>
    <w:lvl w:ilvl="7" w:tplc="844CE2BC" w:tentative="1">
      <w:start w:val="1"/>
      <w:numFmt w:val="bullet"/>
      <w:lvlText w:val="•"/>
      <w:lvlJc w:val="left"/>
      <w:pPr>
        <w:tabs>
          <w:tab w:val="num" w:pos="5400"/>
        </w:tabs>
        <w:ind w:left="5400" w:hanging="360"/>
      </w:pPr>
      <w:rPr>
        <w:rFonts w:ascii="Arial" w:hAnsi="Arial" w:hint="default"/>
      </w:rPr>
    </w:lvl>
    <w:lvl w:ilvl="8" w:tplc="E662015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C379B6"/>
    <w:multiLevelType w:val="hybridMultilevel"/>
    <w:tmpl w:val="18F860C4"/>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CE0A84"/>
    <w:multiLevelType w:val="hybridMultilevel"/>
    <w:tmpl w:val="10EEC3D0"/>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227BA1"/>
    <w:multiLevelType w:val="hybridMultilevel"/>
    <w:tmpl w:val="50F660DC"/>
    <w:lvl w:ilvl="0" w:tplc="4788AB3A">
      <w:start w:val="1"/>
      <w:numFmt w:val="bullet"/>
      <w:lvlText w:val="•"/>
      <w:lvlJc w:val="left"/>
      <w:pPr>
        <w:tabs>
          <w:tab w:val="num" w:pos="720"/>
        </w:tabs>
        <w:ind w:left="720" w:hanging="360"/>
      </w:pPr>
      <w:rPr>
        <w:rFonts w:ascii="Arial" w:hAnsi="Arial" w:hint="default"/>
      </w:rPr>
    </w:lvl>
    <w:lvl w:ilvl="1" w:tplc="56C2ABD4">
      <w:numFmt w:val="bullet"/>
      <w:lvlText w:val="–"/>
      <w:lvlJc w:val="left"/>
      <w:pPr>
        <w:tabs>
          <w:tab w:val="num" w:pos="1440"/>
        </w:tabs>
        <w:ind w:left="1440" w:hanging="360"/>
      </w:pPr>
      <w:rPr>
        <w:rFonts w:ascii="Arial" w:hAnsi="Arial" w:hint="default"/>
      </w:rPr>
    </w:lvl>
    <w:lvl w:ilvl="2" w:tplc="67746912" w:tentative="1">
      <w:start w:val="1"/>
      <w:numFmt w:val="bullet"/>
      <w:lvlText w:val="•"/>
      <w:lvlJc w:val="left"/>
      <w:pPr>
        <w:tabs>
          <w:tab w:val="num" w:pos="2160"/>
        </w:tabs>
        <w:ind w:left="2160" w:hanging="360"/>
      </w:pPr>
      <w:rPr>
        <w:rFonts w:ascii="Arial" w:hAnsi="Arial" w:hint="default"/>
      </w:rPr>
    </w:lvl>
    <w:lvl w:ilvl="3" w:tplc="72DE0840" w:tentative="1">
      <w:start w:val="1"/>
      <w:numFmt w:val="bullet"/>
      <w:lvlText w:val="•"/>
      <w:lvlJc w:val="left"/>
      <w:pPr>
        <w:tabs>
          <w:tab w:val="num" w:pos="2880"/>
        </w:tabs>
        <w:ind w:left="2880" w:hanging="360"/>
      </w:pPr>
      <w:rPr>
        <w:rFonts w:ascii="Arial" w:hAnsi="Arial" w:hint="default"/>
      </w:rPr>
    </w:lvl>
    <w:lvl w:ilvl="4" w:tplc="D93EBFB2" w:tentative="1">
      <w:start w:val="1"/>
      <w:numFmt w:val="bullet"/>
      <w:lvlText w:val="•"/>
      <w:lvlJc w:val="left"/>
      <w:pPr>
        <w:tabs>
          <w:tab w:val="num" w:pos="3600"/>
        </w:tabs>
        <w:ind w:left="3600" w:hanging="360"/>
      </w:pPr>
      <w:rPr>
        <w:rFonts w:ascii="Arial" w:hAnsi="Arial" w:hint="default"/>
      </w:rPr>
    </w:lvl>
    <w:lvl w:ilvl="5" w:tplc="9C6430FA" w:tentative="1">
      <w:start w:val="1"/>
      <w:numFmt w:val="bullet"/>
      <w:lvlText w:val="•"/>
      <w:lvlJc w:val="left"/>
      <w:pPr>
        <w:tabs>
          <w:tab w:val="num" w:pos="4320"/>
        </w:tabs>
        <w:ind w:left="4320" w:hanging="360"/>
      </w:pPr>
      <w:rPr>
        <w:rFonts w:ascii="Arial" w:hAnsi="Arial" w:hint="default"/>
      </w:rPr>
    </w:lvl>
    <w:lvl w:ilvl="6" w:tplc="504E4080" w:tentative="1">
      <w:start w:val="1"/>
      <w:numFmt w:val="bullet"/>
      <w:lvlText w:val="•"/>
      <w:lvlJc w:val="left"/>
      <w:pPr>
        <w:tabs>
          <w:tab w:val="num" w:pos="5040"/>
        </w:tabs>
        <w:ind w:left="5040" w:hanging="360"/>
      </w:pPr>
      <w:rPr>
        <w:rFonts w:ascii="Arial" w:hAnsi="Arial" w:hint="default"/>
      </w:rPr>
    </w:lvl>
    <w:lvl w:ilvl="7" w:tplc="D0C0F046" w:tentative="1">
      <w:start w:val="1"/>
      <w:numFmt w:val="bullet"/>
      <w:lvlText w:val="•"/>
      <w:lvlJc w:val="left"/>
      <w:pPr>
        <w:tabs>
          <w:tab w:val="num" w:pos="5760"/>
        </w:tabs>
        <w:ind w:left="5760" w:hanging="360"/>
      </w:pPr>
      <w:rPr>
        <w:rFonts w:ascii="Arial" w:hAnsi="Arial" w:hint="default"/>
      </w:rPr>
    </w:lvl>
    <w:lvl w:ilvl="8" w:tplc="3092C5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797988"/>
    <w:multiLevelType w:val="hybridMultilevel"/>
    <w:tmpl w:val="721E6722"/>
    <w:lvl w:ilvl="0" w:tplc="F2B46326">
      <w:start w:val="1"/>
      <w:numFmt w:val="bullet"/>
      <w:lvlText w:val="•"/>
      <w:lvlJc w:val="left"/>
      <w:pPr>
        <w:tabs>
          <w:tab w:val="num" w:pos="720"/>
        </w:tabs>
        <w:ind w:left="720" w:hanging="360"/>
      </w:pPr>
      <w:rPr>
        <w:rFonts w:ascii="Arial" w:hAnsi="Arial" w:hint="default"/>
      </w:rPr>
    </w:lvl>
    <w:lvl w:ilvl="1" w:tplc="3DD2EDF4" w:tentative="1">
      <w:start w:val="1"/>
      <w:numFmt w:val="bullet"/>
      <w:lvlText w:val="•"/>
      <w:lvlJc w:val="left"/>
      <w:pPr>
        <w:tabs>
          <w:tab w:val="num" w:pos="1440"/>
        </w:tabs>
        <w:ind w:left="1440" w:hanging="360"/>
      </w:pPr>
      <w:rPr>
        <w:rFonts w:ascii="Arial" w:hAnsi="Arial" w:hint="default"/>
      </w:rPr>
    </w:lvl>
    <w:lvl w:ilvl="2" w:tplc="2B8C11CA">
      <w:start w:val="1"/>
      <w:numFmt w:val="bullet"/>
      <w:lvlText w:val="•"/>
      <w:lvlJc w:val="left"/>
      <w:pPr>
        <w:tabs>
          <w:tab w:val="num" w:pos="2160"/>
        </w:tabs>
        <w:ind w:left="2160" w:hanging="360"/>
      </w:pPr>
      <w:rPr>
        <w:rFonts w:ascii="Arial" w:hAnsi="Arial" w:hint="default"/>
      </w:rPr>
    </w:lvl>
    <w:lvl w:ilvl="3" w:tplc="D2A6E11C" w:tentative="1">
      <w:start w:val="1"/>
      <w:numFmt w:val="bullet"/>
      <w:lvlText w:val="•"/>
      <w:lvlJc w:val="left"/>
      <w:pPr>
        <w:tabs>
          <w:tab w:val="num" w:pos="2880"/>
        </w:tabs>
        <w:ind w:left="2880" w:hanging="360"/>
      </w:pPr>
      <w:rPr>
        <w:rFonts w:ascii="Arial" w:hAnsi="Arial" w:hint="default"/>
      </w:rPr>
    </w:lvl>
    <w:lvl w:ilvl="4" w:tplc="905A5B92" w:tentative="1">
      <w:start w:val="1"/>
      <w:numFmt w:val="bullet"/>
      <w:lvlText w:val="•"/>
      <w:lvlJc w:val="left"/>
      <w:pPr>
        <w:tabs>
          <w:tab w:val="num" w:pos="3600"/>
        </w:tabs>
        <w:ind w:left="3600" w:hanging="360"/>
      </w:pPr>
      <w:rPr>
        <w:rFonts w:ascii="Arial" w:hAnsi="Arial" w:hint="default"/>
      </w:rPr>
    </w:lvl>
    <w:lvl w:ilvl="5" w:tplc="5FA4B30E" w:tentative="1">
      <w:start w:val="1"/>
      <w:numFmt w:val="bullet"/>
      <w:lvlText w:val="•"/>
      <w:lvlJc w:val="left"/>
      <w:pPr>
        <w:tabs>
          <w:tab w:val="num" w:pos="4320"/>
        </w:tabs>
        <w:ind w:left="4320" w:hanging="360"/>
      </w:pPr>
      <w:rPr>
        <w:rFonts w:ascii="Arial" w:hAnsi="Arial" w:hint="default"/>
      </w:rPr>
    </w:lvl>
    <w:lvl w:ilvl="6" w:tplc="AB4892C8" w:tentative="1">
      <w:start w:val="1"/>
      <w:numFmt w:val="bullet"/>
      <w:lvlText w:val="•"/>
      <w:lvlJc w:val="left"/>
      <w:pPr>
        <w:tabs>
          <w:tab w:val="num" w:pos="5040"/>
        </w:tabs>
        <w:ind w:left="5040" w:hanging="360"/>
      </w:pPr>
      <w:rPr>
        <w:rFonts w:ascii="Arial" w:hAnsi="Arial" w:hint="default"/>
      </w:rPr>
    </w:lvl>
    <w:lvl w:ilvl="7" w:tplc="A02C3A52" w:tentative="1">
      <w:start w:val="1"/>
      <w:numFmt w:val="bullet"/>
      <w:lvlText w:val="•"/>
      <w:lvlJc w:val="left"/>
      <w:pPr>
        <w:tabs>
          <w:tab w:val="num" w:pos="5760"/>
        </w:tabs>
        <w:ind w:left="5760" w:hanging="360"/>
      </w:pPr>
      <w:rPr>
        <w:rFonts w:ascii="Arial" w:hAnsi="Arial" w:hint="default"/>
      </w:rPr>
    </w:lvl>
    <w:lvl w:ilvl="8" w:tplc="BA0024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7FED"/>
    <w:multiLevelType w:val="hybridMultilevel"/>
    <w:tmpl w:val="FF724BA6"/>
    <w:lvl w:ilvl="0" w:tplc="87904068">
      <w:start w:val="1"/>
      <w:numFmt w:val="bullet"/>
      <w:lvlText w:val="•"/>
      <w:lvlJc w:val="left"/>
      <w:pPr>
        <w:tabs>
          <w:tab w:val="num" w:pos="720"/>
        </w:tabs>
        <w:ind w:left="720" w:hanging="360"/>
      </w:pPr>
      <w:rPr>
        <w:rFonts w:ascii="Arial" w:hAnsi="Arial" w:hint="default"/>
      </w:rPr>
    </w:lvl>
    <w:lvl w:ilvl="1" w:tplc="242270C2">
      <w:numFmt w:val="bullet"/>
      <w:lvlText w:val="–"/>
      <w:lvlJc w:val="left"/>
      <w:pPr>
        <w:tabs>
          <w:tab w:val="num" w:pos="1440"/>
        </w:tabs>
        <w:ind w:left="1440" w:hanging="360"/>
      </w:pPr>
      <w:rPr>
        <w:rFonts w:ascii="Arial" w:hAnsi="Arial" w:hint="default"/>
      </w:rPr>
    </w:lvl>
    <w:lvl w:ilvl="2" w:tplc="22E4F394">
      <w:numFmt w:val="bullet"/>
      <w:lvlText w:val="•"/>
      <w:lvlJc w:val="left"/>
      <w:pPr>
        <w:tabs>
          <w:tab w:val="num" w:pos="2160"/>
        </w:tabs>
        <w:ind w:left="2160" w:hanging="360"/>
      </w:pPr>
      <w:rPr>
        <w:rFonts w:ascii="Arial" w:hAnsi="Arial" w:hint="default"/>
      </w:rPr>
    </w:lvl>
    <w:lvl w:ilvl="3" w:tplc="38A0A39A" w:tentative="1">
      <w:start w:val="1"/>
      <w:numFmt w:val="bullet"/>
      <w:lvlText w:val="•"/>
      <w:lvlJc w:val="left"/>
      <w:pPr>
        <w:tabs>
          <w:tab w:val="num" w:pos="2880"/>
        </w:tabs>
        <w:ind w:left="2880" w:hanging="360"/>
      </w:pPr>
      <w:rPr>
        <w:rFonts w:ascii="Arial" w:hAnsi="Arial" w:hint="default"/>
      </w:rPr>
    </w:lvl>
    <w:lvl w:ilvl="4" w:tplc="D2885F7C" w:tentative="1">
      <w:start w:val="1"/>
      <w:numFmt w:val="bullet"/>
      <w:lvlText w:val="•"/>
      <w:lvlJc w:val="left"/>
      <w:pPr>
        <w:tabs>
          <w:tab w:val="num" w:pos="3600"/>
        </w:tabs>
        <w:ind w:left="3600" w:hanging="360"/>
      </w:pPr>
      <w:rPr>
        <w:rFonts w:ascii="Arial" w:hAnsi="Arial" w:hint="default"/>
      </w:rPr>
    </w:lvl>
    <w:lvl w:ilvl="5" w:tplc="9C9C766C" w:tentative="1">
      <w:start w:val="1"/>
      <w:numFmt w:val="bullet"/>
      <w:lvlText w:val="•"/>
      <w:lvlJc w:val="left"/>
      <w:pPr>
        <w:tabs>
          <w:tab w:val="num" w:pos="4320"/>
        </w:tabs>
        <w:ind w:left="4320" w:hanging="360"/>
      </w:pPr>
      <w:rPr>
        <w:rFonts w:ascii="Arial" w:hAnsi="Arial" w:hint="default"/>
      </w:rPr>
    </w:lvl>
    <w:lvl w:ilvl="6" w:tplc="AF1E8BC0" w:tentative="1">
      <w:start w:val="1"/>
      <w:numFmt w:val="bullet"/>
      <w:lvlText w:val="•"/>
      <w:lvlJc w:val="left"/>
      <w:pPr>
        <w:tabs>
          <w:tab w:val="num" w:pos="5040"/>
        </w:tabs>
        <w:ind w:left="5040" w:hanging="360"/>
      </w:pPr>
      <w:rPr>
        <w:rFonts w:ascii="Arial" w:hAnsi="Arial" w:hint="default"/>
      </w:rPr>
    </w:lvl>
    <w:lvl w:ilvl="7" w:tplc="D1B8F568" w:tentative="1">
      <w:start w:val="1"/>
      <w:numFmt w:val="bullet"/>
      <w:lvlText w:val="•"/>
      <w:lvlJc w:val="left"/>
      <w:pPr>
        <w:tabs>
          <w:tab w:val="num" w:pos="5760"/>
        </w:tabs>
        <w:ind w:left="5760" w:hanging="360"/>
      </w:pPr>
      <w:rPr>
        <w:rFonts w:ascii="Arial" w:hAnsi="Arial" w:hint="default"/>
      </w:rPr>
    </w:lvl>
    <w:lvl w:ilvl="8" w:tplc="3D869F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D44086"/>
    <w:multiLevelType w:val="hybridMultilevel"/>
    <w:tmpl w:val="2DA813EE"/>
    <w:lvl w:ilvl="0" w:tplc="F97836E6">
      <w:start w:val="1"/>
      <w:numFmt w:val="bullet"/>
      <w:lvlText w:val="•"/>
      <w:lvlJc w:val="left"/>
      <w:pPr>
        <w:tabs>
          <w:tab w:val="num" w:pos="720"/>
        </w:tabs>
        <w:ind w:left="720" w:hanging="360"/>
      </w:pPr>
      <w:rPr>
        <w:rFonts w:ascii="Arial" w:hAnsi="Arial" w:hint="default"/>
      </w:rPr>
    </w:lvl>
    <w:lvl w:ilvl="1" w:tplc="955C8C8E">
      <w:numFmt w:val="bullet"/>
      <w:lvlText w:val="–"/>
      <w:lvlJc w:val="left"/>
      <w:pPr>
        <w:tabs>
          <w:tab w:val="num" w:pos="1440"/>
        </w:tabs>
        <w:ind w:left="1440" w:hanging="360"/>
      </w:pPr>
      <w:rPr>
        <w:rFonts w:ascii="Arial" w:hAnsi="Arial" w:hint="default"/>
      </w:rPr>
    </w:lvl>
    <w:lvl w:ilvl="2" w:tplc="B15A5C0C">
      <w:numFmt w:val="bullet"/>
      <w:lvlText w:val="•"/>
      <w:lvlJc w:val="left"/>
      <w:pPr>
        <w:tabs>
          <w:tab w:val="num" w:pos="2160"/>
        </w:tabs>
        <w:ind w:left="2160" w:hanging="360"/>
      </w:pPr>
      <w:rPr>
        <w:rFonts w:ascii="Arial" w:hAnsi="Arial" w:hint="default"/>
      </w:rPr>
    </w:lvl>
    <w:lvl w:ilvl="3" w:tplc="B30E9A9E" w:tentative="1">
      <w:start w:val="1"/>
      <w:numFmt w:val="bullet"/>
      <w:lvlText w:val="•"/>
      <w:lvlJc w:val="left"/>
      <w:pPr>
        <w:tabs>
          <w:tab w:val="num" w:pos="2880"/>
        </w:tabs>
        <w:ind w:left="2880" w:hanging="360"/>
      </w:pPr>
      <w:rPr>
        <w:rFonts w:ascii="Arial" w:hAnsi="Arial" w:hint="default"/>
      </w:rPr>
    </w:lvl>
    <w:lvl w:ilvl="4" w:tplc="3BE2A516" w:tentative="1">
      <w:start w:val="1"/>
      <w:numFmt w:val="bullet"/>
      <w:lvlText w:val="•"/>
      <w:lvlJc w:val="left"/>
      <w:pPr>
        <w:tabs>
          <w:tab w:val="num" w:pos="3600"/>
        </w:tabs>
        <w:ind w:left="3600" w:hanging="360"/>
      </w:pPr>
      <w:rPr>
        <w:rFonts w:ascii="Arial" w:hAnsi="Arial" w:hint="default"/>
      </w:rPr>
    </w:lvl>
    <w:lvl w:ilvl="5" w:tplc="BA96A18E" w:tentative="1">
      <w:start w:val="1"/>
      <w:numFmt w:val="bullet"/>
      <w:lvlText w:val="•"/>
      <w:lvlJc w:val="left"/>
      <w:pPr>
        <w:tabs>
          <w:tab w:val="num" w:pos="4320"/>
        </w:tabs>
        <w:ind w:left="4320" w:hanging="360"/>
      </w:pPr>
      <w:rPr>
        <w:rFonts w:ascii="Arial" w:hAnsi="Arial" w:hint="default"/>
      </w:rPr>
    </w:lvl>
    <w:lvl w:ilvl="6" w:tplc="3F3A27FC" w:tentative="1">
      <w:start w:val="1"/>
      <w:numFmt w:val="bullet"/>
      <w:lvlText w:val="•"/>
      <w:lvlJc w:val="left"/>
      <w:pPr>
        <w:tabs>
          <w:tab w:val="num" w:pos="5040"/>
        </w:tabs>
        <w:ind w:left="5040" w:hanging="360"/>
      </w:pPr>
      <w:rPr>
        <w:rFonts w:ascii="Arial" w:hAnsi="Arial" w:hint="default"/>
      </w:rPr>
    </w:lvl>
    <w:lvl w:ilvl="7" w:tplc="78B09542" w:tentative="1">
      <w:start w:val="1"/>
      <w:numFmt w:val="bullet"/>
      <w:lvlText w:val="•"/>
      <w:lvlJc w:val="left"/>
      <w:pPr>
        <w:tabs>
          <w:tab w:val="num" w:pos="5760"/>
        </w:tabs>
        <w:ind w:left="5760" w:hanging="360"/>
      </w:pPr>
      <w:rPr>
        <w:rFonts w:ascii="Arial" w:hAnsi="Arial" w:hint="default"/>
      </w:rPr>
    </w:lvl>
    <w:lvl w:ilvl="8" w:tplc="9BAECF20"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15"/>
  </w:num>
  <w:num w:numId="3">
    <w:abstractNumId w:val="4"/>
  </w:num>
  <w:num w:numId="4">
    <w:abstractNumId w:val="2"/>
  </w:num>
  <w:num w:numId="5">
    <w:abstractNumId w:val="10"/>
  </w:num>
  <w:num w:numId="6">
    <w:abstractNumId w:val="25"/>
  </w:num>
  <w:num w:numId="7">
    <w:abstractNumId w:val="16"/>
  </w:num>
  <w:num w:numId="8">
    <w:abstractNumId w:val="17"/>
  </w:num>
  <w:num w:numId="9">
    <w:abstractNumId w:val="22"/>
  </w:num>
  <w:num w:numId="10">
    <w:abstractNumId w:val="36"/>
  </w:num>
  <w:num w:numId="11">
    <w:abstractNumId w:val="24"/>
  </w:num>
  <w:num w:numId="12">
    <w:abstractNumId w:val="28"/>
  </w:num>
  <w:num w:numId="13">
    <w:abstractNumId w:val="29"/>
  </w:num>
  <w:num w:numId="14">
    <w:abstractNumId w:val="23"/>
  </w:num>
  <w:num w:numId="15">
    <w:abstractNumId w:val="20"/>
  </w:num>
  <w:num w:numId="16">
    <w:abstractNumId w:val="0"/>
  </w:num>
  <w:num w:numId="17">
    <w:abstractNumId w:val="8"/>
  </w:num>
  <w:num w:numId="18">
    <w:abstractNumId w:val="6"/>
  </w:num>
  <w:num w:numId="19">
    <w:abstractNumId w:val="34"/>
  </w:num>
  <w:num w:numId="20">
    <w:abstractNumId w:val="5"/>
  </w:num>
  <w:num w:numId="21">
    <w:abstractNumId w:val="26"/>
  </w:num>
  <w:num w:numId="22">
    <w:abstractNumId w:val="3"/>
  </w:num>
  <w:num w:numId="23">
    <w:abstractNumId w:val="7"/>
  </w:num>
  <w:num w:numId="24">
    <w:abstractNumId w:val="14"/>
  </w:num>
  <w:num w:numId="25">
    <w:abstractNumId w:val="32"/>
  </w:num>
  <w:num w:numId="26">
    <w:abstractNumId w:val="39"/>
  </w:num>
  <w:num w:numId="27">
    <w:abstractNumId w:val="38"/>
  </w:num>
  <w:num w:numId="28">
    <w:abstractNumId w:val="1"/>
  </w:num>
  <w:num w:numId="29">
    <w:abstractNumId w:val="31"/>
  </w:num>
  <w:num w:numId="30">
    <w:abstractNumId w:val="19"/>
  </w:num>
  <w:num w:numId="31">
    <w:abstractNumId w:val="18"/>
  </w:num>
  <w:num w:numId="32">
    <w:abstractNumId w:val="11"/>
  </w:num>
  <w:num w:numId="33">
    <w:abstractNumId w:val="30"/>
  </w:num>
  <w:num w:numId="34">
    <w:abstractNumId w:val="12"/>
  </w:num>
  <w:num w:numId="35">
    <w:abstractNumId w:val="27"/>
  </w:num>
  <w:num w:numId="36">
    <w:abstractNumId w:val="21"/>
  </w:num>
  <w:num w:numId="37">
    <w:abstractNumId w:val="35"/>
  </w:num>
  <w:num w:numId="38">
    <w:abstractNumId w:val="37"/>
  </w:num>
  <w:num w:numId="39">
    <w:abstractNumId w:val="13"/>
  </w:num>
  <w:num w:numId="4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9D7"/>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A40"/>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856"/>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5CE"/>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27C"/>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8A2"/>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48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1DD9"/>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6D5"/>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0B"/>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4608"/>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571"/>
    <w:rsid w:val="00180811"/>
    <w:rsid w:val="0018082A"/>
    <w:rsid w:val="00180A74"/>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A2B"/>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0DDC"/>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AF"/>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0BC"/>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B8F"/>
    <w:rsid w:val="001D5C11"/>
    <w:rsid w:val="001D5DA0"/>
    <w:rsid w:val="001D5DE8"/>
    <w:rsid w:val="001D61E6"/>
    <w:rsid w:val="001D638C"/>
    <w:rsid w:val="001D7037"/>
    <w:rsid w:val="001D76FE"/>
    <w:rsid w:val="001E0189"/>
    <w:rsid w:val="001E05E3"/>
    <w:rsid w:val="001E0735"/>
    <w:rsid w:val="001E0B40"/>
    <w:rsid w:val="001E12E8"/>
    <w:rsid w:val="001E1CF2"/>
    <w:rsid w:val="001E23FD"/>
    <w:rsid w:val="001E2B47"/>
    <w:rsid w:val="001E2BD4"/>
    <w:rsid w:val="001E2C4C"/>
    <w:rsid w:val="001E40D0"/>
    <w:rsid w:val="001E48F4"/>
    <w:rsid w:val="001E5205"/>
    <w:rsid w:val="001E59BA"/>
    <w:rsid w:val="001E59E0"/>
    <w:rsid w:val="001E6CF5"/>
    <w:rsid w:val="001E6D94"/>
    <w:rsid w:val="001E7244"/>
    <w:rsid w:val="001E766E"/>
    <w:rsid w:val="001E7990"/>
    <w:rsid w:val="001F0DEA"/>
    <w:rsid w:val="001F1363"/>
    <w:rsid w:val="001F189E"/>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91E"/>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07C"/>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4D7"/>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3E32"/>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67EC9"/>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B37"/>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2CC"/>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5B8E"/>
    <w:rsid w:val="002C61AC"/>
    <w:rsid w:val="002C631D"/>
    <w:rsid w:val="002C6990"/>
    <w:rsid w:val="002C69E5"/>
    <w:rsid w:val="002C6F94"/>
    <w:rsid w:val="002C7402"/>
    <w:rsid w:val="002C7829"/>
    <w:rsid w:val="002C7A5E"/>
    <w:rsid w:val="002C7C2B"/>
    <w:rsid w:val="002D0792"/>
    <w:rsid w:val="002D08B4"/>
    <w:rsid w:val="002D0A6B"/>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F41"/>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4EAA"/>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D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529"/>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6E"/>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2E4"/>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C54"/>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4A9"/>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1CDE"/>
    <w:rsid w:val="004220D1"/>
    <w:rsid w:val="0042232E"/>
    <w:rsid w:val="004224A8"/>
    <w:rsid w:val="0042317F"/>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B51"/>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070"/>
    <w:rsid w:val="0046625B"/>
    <w:rsid w:val="0046648D"/>
    <w:rsid w:val="00466730"/>
    <w:rsid w:val="004667C9"/>
    <w:rsid w:val="0046727A"/>
    <w:rsid w:val="004674AA"/>
    <w:rsid w:val="004677CC"/>
    <w:rsid w:val="00467920"/>
    <w:rsid w:val="00467E89"/>
    <w:rsid w:val="004701D9"/>
    <w:rsid w:val="004704CA"/>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666"/>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941"/>
    <w:rsid w:val="00493F45"/>
    <w:rsid w:val="00494461"/>
    <w:rsid w:val="004948FD"/>
    <w:rsid w:val="00495979"/>
    <w:rsid w:val="00495D35"/>
    <w:rsid w:val="00495FCE"/>
    <w:rsid w:val="004962A9"/>
    <w:rsid w:val="004979ED"/>
    <w:rsid w:val="00497F88"/>
    <w:rsid w:val="004A0557"/>
    <w:rsid w:val="004A0EAB"/>
    <w:rsid w:val="004A0EAE"/>
    <w:rsid w:val="004A0F67"/>
    <w:rsid w:val="004A1A52"/>
    <w:rsid w:val="004A1A55"/>
    <w:rsid w:val="004A26A8"/>
    <w:rsid w:val="004A2845"/>
    <w:rsid w:val="004A2996"/>
    <w:rsid w:val="004A2A08"/>
    <w:rsid w:val="004A35D5"/>
    <w:rsid w:val="004A37BA"/>
    <w:rsid w:val="004A3926"/>
    <w:rsid w:val="004A3EA4"/>
    <w:rsid w:val="004A438D"/>
    <w:rsid w:val="004A45F3"/>
    <w:rsid w:val="004A4EE7"/>
    <w:rsid w:val="004A5B99"/>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27ED"/>
    <w:rsid w:val="004E32F4"/>
    <w:rsid w:val="004E3899"/>
    <w:rsid w:val="004E4D6D"/>
    <w:rsid w:val="004E4FAA"/>
    <w:rsid w:val="004E546B"/>
    <w:rsid w:val="004E5521"/>
    <w:rsid w:val="004E5EC2"/>
    <w:rsid w:val="004E604B"/>
    <w:rsid w:val="004E6579"/>
    <w:rsid w:val="004E6F16"/>
    <w:rsid w:val="004F00EC"/>
    <w:rsid w:val="004F02D8"/>
    <w:rsid w:val="004F0CF5"/>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47A"/>
    <w:rsid w:val="00507B82"/>
    <w:rsid w:val="00507EA7"/>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1F"/>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5F5"/>
    <w:rsid w:val="00546869"/>
    <w:rsid w:val="00546E07"/>
    <w:rsid w:val="00546F27"/>
    <w:rsid w:val="00547846"/>
    <w:rsid w:val="005479AA"/>
    <w:rsid w:val="00550072"/>
    <w:rsid w:val="00550184"/>
    <w:rsid w:val="00550457"/>
    <w:rsid w:val="0055070C"/>
    <w:rsid w:val="005508F7"/>
    <w:rsid w:val="005509F9"/>
    <w:rsid w:val="00550B00"/>
    <w:rsid w:val="00550D9E"/>
    <w:rsid w:val="00550DB6"/>
    <w:rsid w:val="00551213"/>
    <w:rsid w:val="005520CF"/>
    <w:rsid w:val="005521E6"/>
    <w:rsid w:val="005529C4"/>
    <w:rsid w:val="00553BD6"/>
    <w:rsid w:val="005545C4"/>
    <w:rsid w:val="005545CA"/>
    <w:rsid w:val="0055479A"/>
    <w:rsid w:val="00554C63"/>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9F4"/>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829"/>
    <w:rsid w:val="005A4906"/>
    <w:rsid w:val="005A49B3"/>
    <w:rsid w:val="005A4DDE"/>
    <w:rsid w:val="005A4E47"/>
    <w:rsid w:val="005A58A3"/>
    <w:rsid w:val="005A5CF0"/>
    <w:rsid w:val="005A60B5"/>
    <w:rsid w:val="005A662D"/>
    <w:rsid w:val="005A684E"/>
    <w:rsid w:val="005A6B85"/>
    <w:rsid w:val="005A6D4C"/>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61C"/>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7D6"/>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5F32"/>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3B81"/>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E7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0CB"/>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2B"/>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A5A"/>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0BC"/>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760"/>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34E"/>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270"/>
    <w:rsid w:val="00764DD1"/>
    <w:rsid w:val="007651BB"/>
    <w:rsid w:val="00765426"/>
    <w:rsid w:val="007656C8"/>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CA9"/>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2F5A"/>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3D2C"/>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43B"/>
    <w:rsid w:val="007D7ABB"/>
    <w:rsid w:val="007E0590"/>
    <w:rsid w:val="007E09EE"/>
    <w:rsid w:val="007E149C"/>
    <w:rsid w:val="007E1653"/>
    <w:rsid w:val="007E2344"/>
    <w:rsid w:val="007E2669"/>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38"/>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17F61"/>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4F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1BA2"/>
    <w:rsid w:val="00841CA3"/>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59D"/>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982"/>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E8"/>
    <w:rsid w:val="008B26FB"/>
    <w:rsid w:val="008B2933"/>
    <w:rsid w:val="008B2E89"/>
    <w:rsid w:val="008B3A0A"/>
    <w:rsid w:val="008B45E7"/>
    <w:rsid w:val="008B471E"/>
    <w:rsid w:val="008B49BB"/>
    <w:rsid w:val="008B4F96"/>
    <w:rsid w:val="008B5290"/>
    <w:rsid w:val="008B55FA"/>
    <w:rsid w:val="008B60A7"/>
    <w:rsid w:val="008B6D94"/>
    <w:rsid w:val="008B6FEB"/>
    <w:rsid w:val="008B72BC"/>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DCE"/>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79A"/>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20"/>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0D77"/>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2B7"/>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65DE"/>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4E81"/>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8E3"/>
    <w:rsid w:val="00A50AC8"/>
    <w:rsid w:val="00A50CD6"/>
    <w:rsid w:val="00A50DC3"/>
    <w:rsid w:val="00A51C0E"/>
    <w:rsid w:val="00A52E06"/>
    <w:rsid w:val="00A537C9"/>
    <w:rsid w:val="00A539BC"/>
    <w:rsid w:val="00A53AFE"/>
    <w:rsid w:val="00A54B8D"/>
    <w:rsid w:val="00A54DED"/>
    <w:rsid w:val="00A559F4"/>
    <w:rsid w:val="00A56900"/>
    <w:rsid w:val="00A56B17"/>
    <w:rsid w:val="00A56F3F"/>
    <w:rsid w:val="00A57880"/>
    <w:rsid w:val="00A57B82"/>
    <w:rsid w:val="00A57C29"/>
    <w:rsid w:val="00A57CEE"/>
    <w:rsid w:val="00A60759"/>
    <w:rsid w:val="00A6078B"/>
    <w:rsid w:val="00A609CE"/>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7A2"/>
    <w:rsid w:val="00A768E6"/>
    <w:rsid w:val="00A76A6A"/>
    <w:rsid w:val="00A76CA0"/>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4D6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A85"/>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09F"/>
    <w:rsid w:val="00B061DB"/>
    <w:rsid w:val="00B06A17"/>
    <w:rsid w:val="00B06ED6"/>
    <w:rsid w:val="00B0750B"/>
    <w:rsid w:val="00B07828"/>
    <w:rsid w:val="00B0786A"/>
    <w:rsid w:val="00B07D0E"/>
    <w:rsid w:val="00B07E53"/>
    <w:rsid w:val="00B10BCE"/>
    <w:rsid w:val="00B10F8B"/>
    <w:rsid w:val="00B11575"/>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33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3A7"/>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2B2"/>
    <w:rsid w:val="00B43347"/>
    <w:rsid w:val="00B435DA"/>
    <w:rsid w:val="00B43E31"/>
    <w:rsid w:val="00B449A9"/>
    <w:rsid w:val="00B44A60"/>
    <w:rsid w:val="00B44FEF"/>
    <w:rsid w:val="00B45015"/>
    <w:rsid w:val="00B45091"/>
    <w:rsid w:val="00B46C1F"/>
    <w:rsid w:val="00B4715C"/>
    <w:rsid w:val="00B4718E"/>
    <w:rsid w:val="00B47773"/>
    <w:rsid w:val="00B47A1C"/>
    <w:rsid w:val="00B47AFE"/>
    <w:rsid w:val="00B47E98"/>
    <w:rsid w:val="00B509A9"/>
    <w:rsid w:val="00B50A10"/>
    <w:rsid w:val="00B50FA0"/>
    <w:rsid w:val="00B5130D"/>
    <w:rsid w:val="00B51F96"/>
    <w:rsid w:val="00B52221"/>
    <w:rsid w:val="00B5268B"/>
    <w:rsid w:val="00B5280A"/>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4B8"/>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442"/>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3912"/>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2CA"/>
    <w:rsid w:val="00BF658E"/>
    <w:rsid w:val="00BF6646"/>
    <w:rsid w:val="00BF6780"/>
    <w:rsid w:val="00BF6D94"/>
    <w:rsid w:val="00BF6DE5"/>
    <w:rsid w:val="00BF6DF6"/>
    <w:rsid w:val="00BF76EB"/>
    <w:rsid w:val="00BF77E3"/>
    <w:rsid w:val="00BF7E9B"/>
    <w:rsid w:val="00BF7FE5"/>
    <w:rsid w:val="00C000D7"/>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001"/>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2EC"/>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4AE"/>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6ED"/>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98C"/>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AC3"/>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11DE"/>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00E"/>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5"/>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C6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014"/>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2EC9"/>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65D2"/>
    <w:rsid w:val="00E37672"/>
    <w:rsid w:val="00E37A81"/>
    <w:rsid w:val="00E40910"/>
    <w:rsid w:val="00E40A47"/>
    <w:rsid w:val="00E40E55"/>
    <w:rsid w:val="00E410BA"/>
    <w:rsid w:val="00E4212A"/>
    <w:rsid w:val="00E4263F"/>
    <w:rsid w:val="00E4298A"/>
    <w:rsid w:val="00E42FB1"/>
    <w:rsid w:val="00E42FC5"/>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6C13"/>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458"/>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514"/>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57"/>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B03"/>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720"/>
    <w:rsid w:val="00F12735"/>
    <w:rsid w:val="00F12D0F"/>
    <w:rsid w:val="00F13C78"/>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E09"/>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512"/>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4B1"/>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848"/>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B20"/>
    <w:rsid w:val="00F97D19"/>
    <w:rsid w:val="00F97E7A"/>
    <w:rsid w:val="00FA09EB"/>
    <w:rsid w:val="00FA0AE0"/>
    <w:rsid w:val="00FA0E79"/>
    <w:rsid w:val="00FA13B7"/>
    <w:rsid w:val="00FA1601"/>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90D"/>
    <w:rsid w:val="00FB0ADB"/>
    <w:rsid w:val="00FB0E40"/>
    <w:rsid w:val="00FB184A"/>
    <w:rsid w:val="00FB18B4"/>
    <w:rsid w:val="00FB1C7D"/>
    <w:rsid w:val="00FB1EA3"/>
    <w:rsid w:val="00FB22DF"/>
    <w:rsid w:val="00FB2379"/>
    <w:rsid w:val="00FB2750"/>
    <w:rsid w:val="00FB281A"/>
    <w:rsid w:val="00FB3055"/>
    <w:rsid w:val="00FB3106"/>
    <w:rsid w:val="00FB36A0"/>
    <w:rsid w:val="00FB3957"/>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6A3"/>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609F"/>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0609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0609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Proposal"/>
    <w:basedOn w:val="af2"/>
    <w:next w:val="a"/>
    <w:link w:val="af3"/>
    <w:autoRedefine/>
    <w:qFormat/>
    <w:rsid w:val="00FB090D"/>
    <w:pPr>
      <w:spacing w:before="120" w:after="50"/>
      <w:jc w:val="both"/>
    </w:pPr>
    <w:rPr>
      <w:b/>
      <w:i/>
      <w:kern w:val="0"/>
      <w:sz w:val="20"/>
      <w:szCs w:val="20"/>
      <w:lang w:eastAsia="en-US"/>
    </w:rPr>
  </w:style>
  <w:style w:type="character" w:customStyle="1" w:styleId="af3">
    <w:name w:val="题注 字符"/>
    <w:aliases w:val="Proposal 字符"/>
    <w:link w:val="af1"/>
    <w:rsid w:val="00FB090D"/>
    <w:rPr>
      <w:rFonts w:ascii="Times New Roman" w:eastAsiaTheme="minorEastAsia" w:hAnsi="Times New Roman"/>
      <w:b/>
      <w:i/>
      <w:lang w:eastAsia="en-US"/>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表段落11,清單段落1"/>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R4_bullets 字符,列表段落1 字符,—ño’i—Ž 字符,¥¡¡¡¡ì¬º¥¹¥È¶ÎÂä 字符,ÁÐ³ö¶ÎÂä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eastAsia="Calibri"/>
      <w:sz w:val="20"/>
      <w:szCs w:val="20"/>
      <w:lang w:val="en-GB"/>
    </w:rPr>
  </w:style>
  <w:style w:type="paragraph" w:customStyle="1" w:styleId="proposal">
    <w:name w:val="proposal"/>
    <w:basedOn w:val="af1"/>
    <w:link w:val="proposal0"/>
    <w:autoRedefine/>
    <w:qFormat/>
    <w:rsid w:val="0097779A"/>
    <w:pPr>
      <w:autoSpaceDE w:val="0"/>
      <w:autoSpaceDN w:val="0"/>
      <w:adjustRightInd w:val="0"/>
      <w:spacing w:beforeLines="50" w:afterLines="50" w:after="120" w:line="360" w:lineRule="auto"/>
    </w:pPr>
    <w:rPr>
      <w:rFonts w:ascii="Times New Roman" w:hAnsi="Times New Roman" w:cs="Times New Roman"/>
      <w:i w:val="0"/>
      <w:lang w:eastAsia="zh-CN"/>
    </w:r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97779A"/>
    <w:rPr>
      <w:rFonts w:ascii="Times New Roman" w:eastAsiaTheme="minorEastAsia" w:hAnsi="Times New Roman"/>
      <w:b/>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i/>
      <w:kern w:val="2"/>
      <w:sz w:val="21"/>
      <w:szCs w:val="21"/>
      <w:lang w:val="x-none" w:eastAsia="x-none"/>
    </w:rPr>
  </w:style>
  <w:style w:type="character" w:styleId="aff">
    <w:name w:val="endnote reference"/>
    <w:basedOn w:val="a0"/>
    <w:rsid w:val="00FB3957"/>
    <w:rPr>
      <w:vertAlign w:val="superscript"/>
    </w:rPr>
  </w:style>
  <w:style w:type="paragraph" w:styleId="af2">
    <w:name w:val="endnote text"/>
    <w:basedOn w:val="a"/>
    <w:link w:val="aff0"/>
    <w:rsid w:val="00FB3957"/>
    <w:pPr>
      <w:snapToGrid w:val="0"/>
      <w:jc w:val="left"/>
    </w:pPr>
  </w:style>
  <w:style w:type="character" w:customStyle="1" w:styleId="aff0">
    <w:name w:val="尾注文本 字符"/>
    <w:basedOn w:val="a0"/>
    <w:link w:val="af2"/>
    <w:rsid w:val="00FB3957"/>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rsid w:val="00267EC9"/>
    <w:pPr>
      <w:numPr>
        <w:numId w:val="37"/>
      </w:numPr>
      <w:tabs>
        <w:tab w:val="clear" w:pos="6930"/>
        <w:tab w:val="num" w:pos="1620"/>
      </w:tabs>
      <w:spacing w:before="60"/>
      <w:ind w:left="1620"/>
      <w:jc w:val="left"/>
    </w:pPr>
    <w:rPr>
      <w:rFonts w:ascii="Arial" w:eastAsia="MS Mincho" w:hAnsi="Arial"/>
      <w:b/>
      <w:kern w:val="0"/>
      <w:sz w:val="20"/>
      <w:szCs w:val="24"/>
      <w:lang w:val="en-GB" w:eastAsia="en-GB"/>
    </w:rPr>
  </w:style>
  <w:style w:type="paragraph" w:customStyle="1" w:styleId="FigureTitle">
    <w:name w:val="Figure_Title"/>
    <w:basedOn w:val="a"/>
    <w:next w:val="a"/>
    <w:qFormat/>
    <w:rsid w:val="002D0A6B"/>
    <w:pPr>
      <w:keepLines/>
      <w:widowControl/>
      <w:tabs>
        <w:tab w:val="left" w:pos="794"/>
        <w:tab w:val="left" w:pos="1191"/>
        <w:tab w:val="left" w:pos="1588"/>
        <w:tab w:val="left" w:pos="1985"/>
      </w:tabs>
      <w:spacing w:before="120" w:after="480" w:line="259" w:lineRule="auto"/>
      <w:jc w:val="center"/>
    </w:pPr>
    <w:rPr>
      <w:rFonts w:ascii="Times New Roman" w:eastAsia="宋体" w:hAnsi="Times New Roman" w:cs="Times New Roman"/>
      <w:b/>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661327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381257">
      <w:bodyDiv w:val="1"/>
      <w:marLeft w:val="0"/>
      <w:marRight w:val="0"/>
      <w:marTop w:val="0"/>
      <w:marBottom w:val="0"/>
      <w:divBdr>
        <w:top w:val="none" w:sz="0" w:space="0" w:color="auto"/>
        <w:left w:val="none" w:sz="0" w:space="0" w:color="auto"/>
        <w:bottom w:val="none" w:sz="0" w:space="0" w:color="auto"/>
        <w:right w:val="none" w:sz="0" w:space="0" w:color="auto"/>
      </w:divBdr>
      <w:divsChild>
        <w:div w:id="1481339126">
          <w:marLeft w:val="1800"/>
          <w:marRight w:val="0"/>
          <w:marTop w:val="62"/>
          <w:marBottom w:val="0"/>
          <w:divBdr>
            <w:top w:val="none" w:sz="0" w:space="0" w:color="auto"/>
            <w:left w:val="none" w:sz="0" w:space="0" w:color="auto"/>
            <w:bottom w:val="none" w:sz="0" w:space="0" w:color="auto"/>
            <w:right w:val="none" w:sz="0" w:space="0" w:color="auto"/>
          </w:divBdr>
        </w:div>
        <w:div w:id="1325235022">
          <w:marLeft w:val="1800"/>
          <w:marRight w:val="0"/>
          <w:marTop w:val="62"/>
          <w:marBottom w:val="0"/>
          <w:divBdr>
            <w:top w:val="none" w:sz="0" w:space="0" w:color="auto"/>
            <w:left w:val="none" w:sz="0" w:space="0" w:color="auto"/>
            <w:bottom w:val="none" w:sz="0" w:space="0" w:color="auto"/>
            <w:right w:val="none" w:sz="0" w:space="0" w:color="auto"/>
          </w:divBdr>
        </w:div>
      </w:divsChild>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0737122">
      <w:bodyDiv w:val="1"/>
      <w:marLeft w:val="0"/>
      <w:marRight w:val="0"/>
      <w:marTop w:val="0"/>
      <w:marBottom w:val="0"/>
      <w:divBdr>
        <w:top w:val="none" w:sz="0" w:space="0" w:color="auto"/>
        <w:left w:val="none" w:sz="0" w:space="0" w:color="auto"/>
        <w:bottom w:val="none" w:sz="0" w:space="0" w:color="auto"/>
        <w:right w:val="none" w:sz="0" w:space="0" w:color="auto"/>
      </w:divBdr>
      <w:divsChild>
        <w:div w:id="1500778105">
          <w:marLeft w:val="547"/>
          <w:marRight w:val="0"/>
          <w:marTop w:val="130"/>
          <w:marBottom w:val="0"/>
          <w:divBdr>
            <w:top w:val="none" w:sz="0" w:space="0" w:color="auto"/>
            <w:left w:val="none" w:sz="0" w:space="0" w:color="auto"/>
            <w:bottom w:val="none" w:sz="0" w:space="0" w:color="auto"/>
            <w:right w:val="none" w:sz="0" w:space="0" w:color="auto"/>
          </w:divBdr>
        </w:div>
        <w:div w:id="1969507721">
          <w:marLeft w:val="1166"/>
          <w:marRight w:val="0"/>
          <w:marTop w:val="115"/>
          <w:marBottom w:val="0"/>
          <w:divBdr>
            <w:top w:val="none" w:sz="0" w:space="0" w:color="auto"/>
            <w:left w:val="none" w:sz="0" w:space="0" w:color="auto"/>
            <w:bottom w:val="none" w:sz="0" w:space="0" w:color="auto"/>
            <w:right w:val="none" w:sz="0" w:space="0" w:color="auto"/>
          </w:divBdr>
        </w:div>
        <w:div w:id="275872696">
          <w:marLeft w:val="1166"/>
          <w:marRight w:val="0"/>
          <w:marTop w:val="115"/>
          <w:marBottom w:val="0"/>
          <w:divBdr>
            <w:top w:val="none" w:sz="0" w:space="0" w:color="auto"/>
            <w:left w:val="none" w:sz="0" w:space="0" w:color="auto"/>
            <w:bottom w:val="none" w:sz="0" w:space="0" w:color="auto"/>
            <w:right w:val="none" w:sz="0" w:space="0" w:color="auto"/>
          </w:divBdr>
        </w:div>
        <w:div w:id="1404327426">
          <w:marLeft w:val="1800"/>
          <w:marRight w:val="0"/>
          <w:marTop w:val="96"/>
          <w:marBottom w:val="0"/>
          <w:divBdr>
            <w:top w:val="none" w:sz="0" w:space="0" w:color="auto"/>
            <w:left w:val="none" w:sz="0" w:space="0" w:color="auto"/>
            <w:bottom w:val="none" w:sz="0" w:space="0" w:color="auto"/>
            <w:right w:val="none" w:sz="0" w:space="0" w:color="auto"/>
          </w:divBdr>
        </w:div>
        <w:div w:id="1456097686">
          <w:marLeft w:val="1166"/>
          <w:marRight w:val="0"/>
          <w:marTop w:val="115"/>
          <w:marBottom w:val="0"/>
          <w:divBdr>
            <w:top w:val="none" w:sz="0" w:space="0" w:color="auto"/>
            <w:left w:val="none" w:sz="0" w:space="0" w:color="auto"/>
            <w:bottom w:val="none" w:sz="0" w:space="0" w:color="auto"/>
            <w:right w:val="none" w:sz="0" w:space="0" w:color="auto"/>
          </w:divBdr>
        </w:div>
        <w:div w:id="967861383">
          <w:marLeft w:val="1800"/>
          <w:marRight w:val="0"/>
          <w:marTop w:val="96"/>
          <w:marBottom w:val="0"/>
          <w:divBdr>
            <w:top w:val="none" w:sz="0" w:space="0" w:color="auto"/>
            <w:left w:val="none" w:sz="0" w:space="0" w:color="auto"/>
            <w:bottom w:val="none" w:sz="0" w:space="0" w:color="auto"/>
            <w:right w:val="none" w:sz="0" w:space="0" w:color="auto"/>
          </w:divBdr>
        </w:div>
        <w:div w:id="1632589001">
          <w:marLeft w:val="1800"/>
          <w:marRight w:val="0"/>
          <w:marTop w:val="96"/>
          <w:marBottom w:val="0"/>
          <w:divBdr>
            <w:top w:val="none" w:sz="0" w:space="0" w:color="auto"/>
            <w:left w:val="none" w:sz="0" w:space="0" w:color="auto"/>
            <w:bottom w:val="none" w:sz="0" w:space="0" w:color="auto"/>
            <w:right w:val="none" w:sz="0" w:space="0" w:color="auto"/>
          </w:divBdr>
        </w:div>
        <w:div w:id="345599468">
          <w:marLeft w:val="1800"/>
          <w:marRight w:val="0"/>
          <w:marTop w:val="96"/>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6724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680960">
      <w:bodyDiv w:val="1"/>
      <w:marLeft w:val="0"/>
      <w:marRight w:val="0"/>
      <w:marTop w:val="0"/>
      <w:marBottom w:val="0"/>
      <w:divBdr>
        <w:top w:val="none" w:sz="0" w:space="0" w:color="auto"/>
        <w:left w:val="none" w:sz="0" w:space="0" w:color="auto"/>
        <w:bottom w:val="none" w:sz="0" w:space="0" w:color="auto"/>
        <w:right w:val="none" w:sz="0" w:space="0" w:color="auto"/>
      </w:divBdr>
      <w:divsChild>
        <w:div w:id="143818377">
          <w:marLeft w:val="547"/>
          <w:marRight w:val="0"/>
          <w:marTop w:val="144"/>
          <w:marBottom w:val="0"/>
          <w:divBdr>
            <w:top w:val="none" w:sz="0" w:space="0" w:color="auto"/>
            <w:left w:val="none" w:sz="0" w:space="0" w:color="auto"/>
            <w:bottom w:val="none" w:sz="0" w:space="0" w:color="auto"/>
            <w:right w:val="none" w:sz="0" w:space="0" w:color="auto"/>
          </w:divBdr>
        </w:div>
        <w:div w:id="684672905">
          <w:marLeft w:val="1166"/>
          <w:marRight w:val="0"/>
          <w:marTop w:val="144"/>
          <w:marBottom w:val="0"/>
          <w:divBdr>
            <w:top w:val="none" w:sz="0" w:space="0" w:color="auto"/>
            <w:left w:val="none" w:sz="0" w:space="0" w:color="auto"/>
            <w:bottom w:val="none" w:sz="0" w:space="0" w:color="auto"/>
            <w:right w:val="none" w:sz="0" w:space="0" w:color="auto"/>
          </w:divBdr>
        </w:div>
        <w:div w:id="61635902">
          <w:marLeft w:val="547"/>
          <w:marRight w:val="0"/>
          <w:marTop w:val="144"/>
          <w:marBottom w:val="0"/>
          <w:divBdr>
            <w:top w:val="none" w:sz="0" w:space="0" w:color="auto"/>
            <w:left w:val="none" w:sz="0" w:space="0" w:color="auto"/>
            <w:bottom w:val="none" w:sz="0" w:space="0" w:color="auto"/>
            <w:right w:val="none" w:sz="0" w:space="0" w:color="auto"/>
          </w:divBdr>
        </w:div>
        <w:div w:id="276764544">
          <w:marLeft w:val="547"/>
          <w:marRight w:val="0"/>
          <w:marTop w:val="144"/>
          <w:marBottom w:val="0"/>
          <w:divBdr>
            <w:top w:val="none" w:sz="0" w:space="0" w:color="auto"/>
            <w:left w:val="none" w:sz="0" w:space="0" w:color="auto"/>
            <w:bottom w:val="none" w:sz="0" w:space="0" w:color="auto"/>
            <w:right w:val="none" w:sz="0" w:space="0" w:color="auto"/>
          </w:divBdr>
        </w:div>
        <w:div w:id="926158871">
          <w:marLeft w:val="547"/>
          <w:marRight w:val="0"/>
          <w:marTop w:val="144"/>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940719">
      <w:bodyDiv w:val="1"/>
      <w:marLeft w:val="0"/>
      <w:marRight w:val="0"/>
      <w:marTop w:val="0"/>
      <w:marBottom w:val="0"/>
      <w:divBdr>
        <w:top w:val="none" w:sz="0" w:space="0" w:color="auto"/>
        <w:left w:val="none" w:sz="0" w:space="0" w:color="auto"/>
        <w:bottom w:val="none" w:sz="0" w:space="0" w:color="auto"/>
        <w:right w:val="none" w:sz="0" w:space="0" w:color="auto"/>
      </w:divBdr>
      <w:divsChild>
        <w:div w:id="216599486">
          <w:marLeft w:val="547"/>
          <w:marRight w:val="0"/>
          <w:marTop w:val="134"/>
          <w:marBottom w:val="0"/>
          <w:divBdr>
            <w:top w:val="none" w:sz="0" w:space="0" w:color="auto"/>
            <w:left w:val="none" w:sz="0" w:space="0" w:color="auto"/>
            <w:bottom w:val="none" w:sz="0" w:space="0" w:color="auto"/>
            <w:right w:val="none" w:sz="0" w:space="0" w:color="auto"/>
          </w:divBdr>
        </w:div>
        <w:div w:id="1093477462">
          <w:marLeft w:val="1166"/>
          <w:marRight w:val="0"/>
          <w:marTop w:val="115"/>
          <w:marBottom w:val="0"/>
          <w:divBdr>
            <w:top w:val="none" w:sz="0" w:space="0" w:color="auto"/>
            <w:left w:val="none" w:sz="0" w:space="0" w:color="auto"/>
            <w:bottom w:val="none" w:sz="0" w:space="0" w:color="auto"/>
            <w:right w:val="none" w:sz="0" w:space="0" w:color="auto"/>
          </w:divBdr>
        </w:div>
        <w:div w:id="2144301343">
          <w:marLeft w:val="547"/>
          <w:marRight w:val="0"/>
          <w:marTop w:val="115"/>
          <w:marBottom w:val="0"/>
          <w:divBdr>
            <w:top w:val="none" w:sz="0" w:space="0" w:color="auto"/>
            <w:left w:val="none" w:sz="0" w:space="0" w:color="auto"/>
            <w:bottom w:val="none" w:sz="0" w:space="0" w:color="auto"/>
            <w:right w:val="none" w:sz="0" w:space="0" w:color="auto"/>
          </w:divBdr>
        </w:div>
        <w:div w:id="1995404814">
          <w:marLeft w:val="1166"/>
          <w:marRight w:val="0"/>
          <w:marTop w:val="115"/>
          <w:marBottom w:val="0"/>
          <w:divBdr>
            <w:top w:val="none" w:sz="0" w:space="0" w:color="auto"/>
            <w:left w:val="none" w:sz="0" w:space="0" w:color="auto"/>
            <w:bottom w:val="none" w:sz="0" w:space="0" w:color="auto"/>
            <w:right w:val="none" w:sz="0" w:space="0" w:color="auto"/>
          </w:divBdr>
        </w:div>
        <w:div w:id="1900897021">
          <w:marLeft w:val="1166"/>
          <w:marRight w:val="0"/>
          <w:marTop w:val="115"/>
          <w:marBottom w:val="0"/>
          <w:divBdr>
            <w:top w:val="none" w:sz="0" w:space="0" w:color="auto"/>
            <w:left w:val="none" w:sz="0" w:space="0" w:color="auto"/>
            <w:bottom w:val="none" w:sz="0" w:space="0" w:color="auto"/>
            <w:right w:val="none" w:sz="0" w:space="0" w:color="auto"/>
          </w:divBdr>
        </w:div>
        <w:div w:id="384527193">
          <w:marLeft w:val="1166"/>
          <w:marRight w:val="0"/>
          <w:marTop w:val="115"/>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502380">
      <w:bodyDiv w:val="1"/>
      <w:marLeft w:val="0"/>
      <w:marRight w:val="0"/>
      <w:marTop w:val="0"/>
      <w:marBottom w:val="0"/>
      <w:divBdr>
        <w:top w:val="none" w:sz="0" w:space="0" w:color="auto"/>
        <w:left w:val="none" w:sz="0" w:space="0" w:color="auto"/>
        <w:bottom w:val="none" w:sz="0" w:space="0" w:color="auto"/>
        <w:right w:val="none" w:sz="0" w:space="0" w:color="auto"/>
      </w:divBdr>
      <w:divsChild>
        <w:div w:id="764348609">
          <w:marLeft w:val="1800"/>
          <w:marRight w:val="0"/>
          <w:marTop w:val="62"/>
          <w:marBottom w:val="0"/>
          <w:divBdr>
            <w:top w:val="none" w:sz="0" w:space="0" w:color="auto"/>
            <w:left w:val="none" w:sz="0" w:space="0" w:color="auto"/>
            <w:bottom w:val="none" w:sz="0" w:space="0" w:color="auto"/>
            <w:right w:val="none" w:sz="0" w:space="0" w:color="auto"/>
          </w:divBdr>
        </w:div>
      </w:divsChild>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6287928">
      <w:bodyDiv w:val="1"/>
      <w:marLeft w:val="0"/>
      <w:marRight w:val="0"/>
      <w:marTop w:val="0"/>
      <w:marBottom w:val="0"/>
      <w:divBdr>
        <w:top w:val="none" w:sz="0" w:space="0" w:color="auto"/>
        <w:left w:val="none" w:sz="0" w:space="0" w:color="auto"/>
        <w:bottom w:val="none" w:sz="0" w:space="0" w:color="auto"/>
        <w:right w:val="none" w:sz="0" w:space="0" w:color="auto"/>
      </w:divBdr>
      <w:divsChild>
        <w:div w:id="1851989891">
          <w:marLeft w:val="547"/>
          <w:marRight w:val="0"/>
          <w:marTop w:val="144"/>
          <w:marBottom w:val="0"/>
          <w:divBdr>
            <w:top w:val="none" w:sz="0" w:space="0" w:color="auto"/>
            <w:left w:val="none" w:sz="0" w:space="0" w:color="auto"/>
            <w:bottom w:val="none" w:sz="0" w:space="0" w:color="auto"/>
            <w:right w:val="none" w:sz="0" w:space="0" w:color="auto"/>
          </w:divBdr>
        </w:div>
        <w:div w:id="1044674826">
          <w:marLeft w:val="1166"/>
          <w:marRight w:val="0"/>
          <w:marTop w:val="125"/>
          <w:marBottom w:val="0"/>
          <w:divBdr>
            <w:top w:val="none" w:sz="0" w:space="0" w:color="auto"/>
            <w:left w:val="none" w:sz="0" w:space="0" w:color="auto"/>
            <w:bottom w:val="none" w:sz="0" w:space="0" w:color="auto"/>
            <w:right w:val="none" w:sz="0" w:space="0" w:color="auto"/>
          </w:divBdr>
        </w:div>
        <w:div w:id="834683096">
          <w:marLeft w:val="1800"/>
          <w:marRight w:val="0"/>
          <w:marTop w:val="106"/>
          <w:marBottom w:val="0"/>
          <w:divBdr>
            <w:top w:val="none" w:sz="0" w:space="0" w:color="auto"/>
            <w:left w:val="none" w:sz="0" w:space="0" w:color="auto"/>
            <w:bottom w:val="none" w:sz="0" w:space="0" w:color="auto"/>
            <w:right w:val="none" w:sz="0" w:space="0" w:color="auto"/>
          </w:divBdr>
        </w:div>
        <w:div w:id="729811757">
          <w:marLeft w:val="1800"/>
          <w:marRight w:val="0"/>
          <w:marTop w:val="106"/>
          <w:marBottom w:val="0"/>
          <w:divBdr>
            <w:top w:val="none" w:sz="0" w:space="0" w:color="auto"/>
            <w:left w:val="none" w:sz="0" w:space="0" w:color="auto"/>
            <w:bottom w:val="none" w:sz="0" w:space="0" w:color="auto"/>
            <w:right w:val="none" w:sz="0" w:space="0" w:color="auto"/>
          </w:divBdr>
        </w:div>
        <w:div w:id="419571612">
          <w:marLeft w:val="1166"/>
          <w:marRight w:val="0"/>
          <w:marTop w:val="125"/>
          <w:marBottom w:val="0"/>
          <w:divBdr>
            <w:top w:val="none" w:sz="0" w:space="0" w:color="auto"/>
            <w:left w:val="none" w:sz="0" w:space="0" w:color="auto"/>
            <w:bottom w:val="none" w:sz="0" w:space="0" w:color="auto"/>
            <w:right w:val="none" w:sz="0" w:space="0" w:color="auto"/>
          </w:divBdr>
        </w:div>
        <w:div w:id="1484735513">
          <w:marLeft w:val="1800"/>
          <w:marRight w:val="0"/>
          <w:marTop w:val="106"/>
          <w:marBottom w:val="0"/>
          <w:divBdr>
            <w:top w:val="none" w:sz="0" w:space="0" w:color="auto"/>
            <w:left w:val="none" w:sz="0" w:space="0" w:color="auto"/>
            <w:bottom w:val="none" w:sz="0" w:space="0" w:color="auto"/>
            <w:right w:val="none" w:sz="0" w:space="0" w:color="auto"/>
          </w:divBdr>
        </w:div>
        <w:div w:id="721907305">
          <w:marLeft w:val="1166"/>
          <w:marRight w:val="0"/>
          <w:marTop w:val="125"/>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2495858">
      <w:bodyDiv w:val="1"/>
      <w:marLeft w:val="0"/>
      <w:marRight w:val="0"/>
      <w:marTop w:val="0"/>
      <w:marBottom w:val="0"/>
      <w:divBdr>
        <w:top w:val="none" w:sz="0" w:space="0" w:color="auto"/>
        <w:left w:val="none" w:sz="0" w:space="0" w:color="auto"/>
        <w:bottom w:val="none" w:sz="0" w:space="0" w:color="auto"/>
        <w:right w:val="none" w:sz="0" w:space="0" w:color="auto"/>
      </w:divBdr>
      <w:divsChild>
        <w:div w:id="1648707539">
          <w:marLeft w:val="547"/>
          <w:marRight w:val="0"/>
          <w:marTop w:val="91"/>
          <w:marBottom w:val="0"/>
          <w:divBdr>
            <w:top w:val="none" w:sz="0" w:space="0" w:color="auto"/>
            <w:left w:val="none" w:sz="0" w:space="0" w:color="auto"/>
            <w:bottom w:val="none" w:sz="0" w:space="0" w:color="auto"/>
            <w:right w:val="none" w:sz="0" w:space="0" w:color="auto"/>
          </w:divBdr>
        </w:div>
        <w:div w:id="1879925081">
          <w:marLeft w:val="1166"/>
          <w:marRight w:val="0"/>
          <w:marTop w:val="72"/>
          <w:marBottom w:val="0"/>
          <w:divBdr>
            <w:top w:val="none" w:sz="0" w:space="0" w:color="auto"/>
            <w:left w:val="none" w:sz="0" w:space="0" w:color="auto"/>
            <w:bottom w:val="none" w:sz="0" w:space="0" w:color="auto"/>
            <w:right w:val="none" w:sz="0" w:space="0" w:color="auto"/>
          </w:divBdr>
        </w:div>
        <w:div w:id="78143745">
          <w:marLeft w:val="1166"/>
          <w:marRight w:val="0"/>
          <w:marTop w:val="72"/>
          <w:marBottom w:val="0"/>
          <w:divBdr>
            <w:top w:val="none" w:sz="0" w:space="0" w:color="auto"/>
            <w:left w:val="none" w:sz="0" w:space="0" w:color="auto"/>
            <w:bottom w:val="none" w:sz="0" w:space="0" w:color="auto"/>
            <w:right w:val="none" w:sz="0" w:space="0" w:color="auto"/>
          </w:divBdr>
        </w:div>
        <w:div w:id="1972663730">
          <w:marLeft w:val="1166"/>
          <w:marRight w:val="0"/>
          <w:marTop w:val="72"/>
          <w:marBottom w:val="0"/>
          <w:divBdr>
            <w:top w:val="none" w:sz="0" w:space="0" w:color="auto"/>
            <w:left w:val="none" w:sz="0" w:space="0" w:color="auto"/>
            <w:bottom w:val="none" w:sz="0" w:space="0" w:color="auto"/>
            <w:right w:val="none" w:sz="0" w:space="0" w:color="auto"/>
          </w:divBdr>
        </w:div>
        <w:div w:id="1721786898">
          <w:marLeft w:val="1166"/>
          <w:marRight w:val="0"/>
          <w:marTop w:val="72"/>
          <w:marBottom w:val="0"/>
          <w:divBdr>
            <w:top w:val="none" w:sz="0" w:space="0" w:color="auto"/>
            <w:left w:val="none" w:sz="0" w:space="0" w:color="auto"/>
            <w:bottom w:val="none" w:sz="0" w:space="0" w:color="auto"/>
            <w:right w:val="none" w:sz="0" w:space="0" w:color="auto"/>
          </w:divBdr>
        </w:div>
        <w:div w:id="662665682">
          <w:marLeft w:val="1800"/>
          <w:marRight w:val="0"/>
          <w:marTop w:val="72"/>
          <w:marBottom w:val="0"/>
          <w:divBdr>
            <w:top w:val="none" w:sz="0" w:space="0" w:color="auto"/>
            <w:left w:val="none" w:sz="0" w:space="0" w:color="auto"/>
            <w:bottom w:val="none" w:sz="0" w:space="0" w:color="auto"/>
            <w:right w:val="none" w:sz="0" w:space="0" w:color="auto"/>
          </w:divBdr>
        </w:div>
        <w:div w:id="1333482729">
          <w:marLeft w:val="1800"/>
          <w:marRight w:val="0"/>
          <w:marTop w:val="72"/>
          <w:marBottom w:val="0"/>
          <w:divBdr>
            <w:top w:val="none" w:sz="0" w:space="0" w:color="auto"/>
            <w:left w:val="none" w:sz="0" w:space="0" w:color="auto"/>
            <w:bottom w:val="none" w:sz="0" w:space="0" w:color="auto"/>
            <w:right w:val="none" w:sz="0" w:space="0" w:color="auto"/>
          </w:divBdr>
        </w:div>
        <w:div w:id="1482111627">
          <w:marLeft w:val="547"/>
          <w:marRight w:val="0"/>
          <w:marTop w:val="91"/>
          <w:marBottom w:val="0"/>
          <w:divBdr>
            <w:top w:val="none" w:sz="0" w:space="0" w:color="auto"/>
            <w:left w:val="none" w:sz="0" w:space="0" w:color="auto"/>
            <w:bottom w:val="none" w:sz="0" w:space="0" w:color="auto"/>
            <w:right w:val="none" w:sz="0" w:space="0" w:color="auto"/>
          </w:divBdr>
        </w:div>
        <w:div w:id="1116828160">
          <w:marLeft w:val="547"/>
          <w:marRight w:val="0"/>
          <w:marTop w:val="91"/>
          <w:marBottom w:val="0"/>
          <w:divBdr>
            <w:top w:val="none" w:sz="0" w:space="0" w:color="auto"/>
            <w:left w:val="none" w:sz="0" w:space="0" w:color="auto"/>
            <w:bottom w:val="none" w:sz="0" w:space="0" w:color="auto"/>
            <w:right w:val="none" w:sz="0" w:space="0" w:color="auto"/>
          </w:divBdr>
        </w:div>
        <w:div w:id="1589926587">
          <w:marLeft w:val="1166"/>
          <w:marRight w:val="0"/>
          <w:marTop w:val="72"/>
          <w:marBottom w:val="0"/>
          <w:divBdr>
            <w:top w:val="none" w:sz="0" w:space="0" w:color="auto"/>
            <w:left w:val="none" w:sz="0" w:space="0" w:color="auto"/>
            <w:bottom w:val="none" w:sz="0" w:space="0" w:color="auto"/>
            <w:right w:val="none" w:sz="0" w:space="0" w:color="auto"/>
          </w:divBdr>
        </w:div>
        <w:div w:id="721946608">
          <w:marLeft w:val="1800"/>
          <w:marRight w:val="0"/>
          <w:marTop w:val="62"/>
          <w:marBottom w:val="0"/>
          <w:divBdr>
            <w:top w:val="none" w:sz="0" w:space="0" w:color="auto"/>
            <w:left w:val="none" w:sz="0" w:space="0" w:color="auto"/>
            <w:bottom w:val="none" w:sz="0" w:space="0" w:color="auto"/>
            <w:right w:val="none" w:sz="0" w:space="0" w:color="auto"/>
          </w:divBdr>
        </w:div>
        <w:div w:id="174809016">
          <w:marLeft w:val="1800"/>
          <w:marRight w:val="0"/>
          <w:marTop w:val="62"/>
          <w:marBottom w:val="0"/>
          <w:divBdr>
            <w:top w:val="none" w:sz="0" w:space="0" w:color="auto"/>
            <w:left w:val="none" w:sz="0" w:space="0" w:color="auto"/>
            <w:bottom w:val="none" w:sz="0" w:space="0" w:color="auto"/>
            <w:right w:val="none" w:sz="0" w:space="0" w:color="auto"/>
          </w:divBdr>
        </w:div>
        <w:div w:id="887112194">
          <w:marLeft w:val="1166"/>
          <w:marRight w:val="0"/>
          <w:marTop w:val="72"/>
          <w:marBottom w:val="0"/>
          <w:divBdr>
            <w:top w:val="none" w:sz="0" w:space="0" w:color="auto"/>
            <w:left w:val="none" w:sz="0" w:space="0" w:color="auto"/>
            <w:bottom w:val="none" w:sz="0" w:space="0" w:color="auto"/>
            <w:right w:val="none" w:sz="0" w:space="0" w:color="auto"/>
          </w:divBdr>
        </w:div>
        <w:div w:id="1305771532">
          <w:marLeft w:val="1800"/>
          <w:marRight w:val="0"/>
          <w:marTop w:val="62"/>
          <w:marBottom w:val="0"/>
          <w:divBdr>
            <w:top w:val="none" w:sz="0" w:space="0" w:color="auto"/>
            <w:left w:val="none" w:sz="0" w:space="0" w:color="auto"/>
            <w:bottom w:val="none" w:sz="0" w:space="0" w:color="auto"/>
            <w:right w:val="none" w:sz="0" w:space="0" w:color="auto"/>
          </w:divBdr>
        </w:div>
        <w:div w:id="1175075204">
          <w:marLeft w:val="1800"/>
          <w:marRight w:val="0"/>
          <w:marTop w:val="62"/>
          <w:marBottom w:val="0"/>
          <w:divBdr>
            <w:top w:val="none" w:sz="0" w:space="0" w:color="auto"/>
            <w:left w:val="none" w:sz="0" w:space="0" w:color="auto"/>
            <w:bottom w:val="none" w:sz="0" w:space="0" w:color="auto"/>
            <w:right w:val="none" w:sz="0" w:space="0" w:color="auto"/>
          </w:divBdr>
        </w:div>
        <w:div w:id="396511491">
          <w:marLeft w:val="1800"/>
          <w:marRight w:val="0"/>
          <w:marTop w:val="62"/>
          <w:marBottom w:val="0"/>
          <w:divBdr>
            <w:top w:val="none" w:sz="0" w:space="0" w:color="auto"/>
            <w:left w:val="none" w:sz="0" w:space="0" w:color="auto"/>
            <w:bottom w:val="none" w:sz="0" w:space="0" w:color="auto"/>
            <w:right w:val="none" w:sz="0" w:space="0" w:color="auto"/>
          </w:divBdr>
        </w:div>
        <w:div w:id="540018558">
          <w:marLeft w:val="1166"/>
          <w:marRight w:val="0"/>
          <w:marTop w:val="72"/>
          <w:marBottom w:val="0"/>
          <w:divBdr>
            <w:top w:val="none" w:sz="0" w:space="0" w:color="auto"/>
            <w:left w:val="none" w:sz="0" w:space="0" w:color="auto"/>
            <w:bottom w:val="none" w:sz="0" w:space="0" w:color="auto"/>
            <w:right w:val="none" w:sz="0" w:space="0" w:color="auto"/>
          </w:divBdr>
        </w:div>
        <w:div w:id="1026833305">
          <w:marLeft w:val="1800"/>
          <w:marRight w:val="0"/>
          <w:marTop w:val="62"/>
          <w:marBottom w:val="0"/>
          <w:divBdr>
            <w:top w:val="none" w:sz="0" w:space="0" w:color="auto"/>
            <w:left w:val="none" w:sz="0" w:space="0" w:color="auto"/>
            <w:bottom w:val="none" w:sz="0" w:space="0" w:color="auto"/>
            <w:right w:val="none" w:sz="0" w:space="0" w:color="auto"/>
          </w:divBdr>
        </w:div>
        <w:div w:id="1395087328">
          <w:marLeft w:val="1166"/>
          <w:marRight w:val="0"/>
          <w:marTop w:val="72"/>
          <w:marBottom w:val="0"/>
          <w:divBdr>
            <w:top w:val="none" w:sz="0" w:space="0" w:color="auto"/>
            <w:left w:val="none" w:sz="0" w:space="0" w:color="auto"/>
            <w:bottom w:val="none" w:sz="0" w:space="0" w:color="auto"/>
            <w:right w:val="none" w:sz="0" w:space="0" w:color="auto"/>
          </w:divBdr>
        </w:div>
        <w:div w:id="549658539">
          <w:marLeft w:val="1800"/>
          <w:marRight w:val="0"/>
          <w:marTop w:val="62"/>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3860">
      <w:bodyDiv w:val="1"/>
      <w:marLeft w:val="0"/>
      <w:marRight w:val="0"/>
      <w:marTop w:val="0"/>
      <w:marBottom w:val="0"/>
      <w:divBdr>
        <w:top w:val="none" w:sz="0" w:space="0" w:color="auto"/>
        <w:left w:val="none" w:sz="0" w:space="0" w:color="auto"/>
        <w:bottom w:val="none" w:sz="0" w:space="0" w:color="auto"/>
        <w:right w:val="none" w:sz="0" w:space="0" w:color="auto"/>
      </w:divBdr>
      <w:divsChild>
        <w:div w:id="875659123">
          <w:marLeft w:val="547"/>
          <w:marRight w:val="0"/>
          <w:marTop w:val="91"/>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A7BB9-D1D7-4F12-82A7-1CB57BF3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1135</Words>
  <Characters>6474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2021-10-20T09:44:00Z</dcterms:created>
  <dcterms:modified xsi:type="dcterms:W3CDTF">2022-02-14T08:18:00Z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